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D-2937/2018 vom 7. Juni 2018</w:t>
      </w:r>
    </w:p>
    <w:p>
      <w:r>
        <w:t>Bundesverwaltungsgericht, 2018-06-07, IT</w:t>
      </w:r>
    </w:p>
    <w:p>
      <w:r>
        <w:rPr>
          <w:b/>
        </w:rPr>
        <w:t xml:space="preserve">Quelle: </w:t>
      </w:r>
      <w:r>
        <w:t>https://mcp.opencaselaw.ch/entscheid/bvger_D-2937_2018</w:t>
      </w:r>
    </w:p>
    <w:p>
      <w:r>
        <w:t>FR: TAF D-2937/2018 du 7 juin 2018</w:t>
      </w:r>
    </w:p>
    <w:p>
      <w:r>
        <w:t>IT: TAF D-2937/2018 del 7 giugno 2018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accolto, nella misura in cui contesta l'esecuzione dell'allontanamento pronunciata nella decisione della SEM del 20 aprile 2018.</w:t>
      </w:r>
    </w:p>
    <w:p>
      <w:r>
        <w:rPr>
          <w:b/>
        </w:rPr>
        <w:t>E. 2</w:t>
      </w:r>
    </w:p>
    <w:p>
      <w:r>
        <w:t>La decisione della SEM del 20 aprile 2018 è annullata e gli atti di causa sono rinviati alla SEM per una completa e corretta istruzione della fattispecie e pronuncia di una nuova decisione ai sensi dei considerandi.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SEM rifonderà alla ricorrente complessivamente CHF 1'150.- a titolo di spese ripetibili.</w:t>
      </w:r>
    </w:p>
    <w:p>
      <w:r>
        <w:rPr>
          <w:b/>
        </w:rPr>
        <w:t>E. 5</w:t>
      </w:r>
    </w:p>
    <w:p>
      <w:r>
        <w:t>Questa sentenza è comunicata alla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