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D-2936/2024 vom 28. Februar 2025</w:t>
      </w:r>
    </w:p>
    <w:p>
      <w:r>
        <w:t>Bundesverwaltungsgericht, 2025-02-28, IT</w:t>
      </w:r>
    </w:p>
    <w:p>
      <w:r>
        <w:rPr>
          <w:b/>
        </w:rPr>
        <w:t xml:space="preserve">Quelle: </w:t>
      </w:r>
      <w:r>
        <w:t>https://mcp.opencaselaw.ch/entscheid/bvger_D-2936_2024</w:t>
      </w:r>
    </w:p>
    <w:p>
      <w:r>
        <w:t>FR: TAF D-2936/2024 du 28 février 2025</w:t>
      </w:r>
    </w:p>
    <w:p>
      <w:r>
        <w:t>IT: TAF D-2936/2024 del 28 febbraio 2025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lingua della procedura è l’italiano.</w:t>
      </w:r>
    </w:p>
    <w:p>
      <w:r>
        <w:rPr>
          <w:b/>
        </w:rPr>
        <w:t>E. 3</w:t>
      </w:r>
    </w:p>
    <w:p>
      <w:r>
        <w:t>La domanda di assistenza giudiziaria, nel senso dell’esenzione dal versa- mento delle spese processuali oltre che di nomina di un patrocinatore d’uf- ficio, è respinta.</w:t>
      </w:r>
    </w:p>
    <w:p>
      <w:r>
        <w:rPr>
          <w:b/>
        </w:rPr>
        <w:t>E. 4</w:t>
      </w:r>
    </w:p>
    <w:p>
      <w:r>
        <w:t>Le spese processuali, di fr. 750.–, sono poste a carico del ricorrente. Tale importo viene prelevato dall’anticipo versato dall’interessato in data 1° lu- glio 2024.</w:t>
      </w:r>
    </w:p>
    <w:p>
      <w:r>
        <w:rPr>
          <w:b/>
        </w:rPr>
        <w:t>E. 5</w:t>
      </w:r>
    </w:p>
    <w:p>
      <w:r>
        <w:t>Questa sentenza è comunicata al ricorrente, alla SEM e all'autorità canto- nale competente.</w:t>
      </w:r>
    </w:p>
    <w:p>
      <w:r>
        <w:t>Il giudice unico: Il cancelliere:</w:t>
      </w:r>
    </w:p>
    <w:p>
      <w:r>
        <w:t>Daniele Cattaneo Adriano Alari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