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D-2935/2019 vom 8. Juli 2019</w:t>
      </w:r>
    </w:p>
    <w:p>
      <w:r>
        <w:t>Bundesverwaltungsgericht, 2019-07-08, DE</w:t>
      </w:r>
    </w:p>
    <w:p>
      <w:r>
        <w:rPr>
          <w:b/>
        </w:rPr>
        <w:t xml:space="preserve">Quelle: </w:t>
      </w:r>
      <w:r>
        <w:t>https://mcp.opencaselaw.ch/entscheid/bvger_D-2935_2019</w:t>
      </w:r>
    </w:p>
    <w:p>
      <w:r>
        <w:t>FR: TAF D-2935/2019 du 8 juillet 2019</w:t>
      </w:r>
    </w:p>
    <w:p>
      <w:r>
        <w:t>IT: TAF D-2935/2019 del 8 luglio 2019</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Bereich des Ausländerrechts zudem auch auf Unangemessenheit (Art. 49 VwVG).</w:t>
      </w:r>
    </w:p>
    <w:p>
      <w:r>
        <w:rPr>
          <w:b/>
        </w:rPr>
        <w:t>E. 2.2</w:t>
      </w:r>
    </w:p>
    <w:p>
      <w:r>
        <w:t>Für das vorliegende Verfahren gilt das bisherige Recht (vgl. Abs. 1 der Übergangsbestimmungen zur Änderung des AsylG vom 25. September 2015).</w:t>
      </w:r>
    </w:p>
    <w:p>
      <w:r>
        <w:rPr>
          <w:b/>
        </w:rPr>
        <w:t>E. 2.3</w:t>
      </w:r>
    </w:p>
    <w:p>
      <w:r>
        <w:t>Am 1. Januar 2019 wurde zudem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2.4</w:t>
      </w:r>
    </w:p>
    <w:p>
      <w:r>
        <w:t>Die Beschwerde erweist sich als offensichtlich unbegründet und ist im Verfahren einzelrichterlicher Zuständigkeit mit Zustimmung einer zweiten Richterin respektive eines zweiten Richters (Art. 111 Bst. e AsylG), ohne Weiterungen und mit summarischer Begründung zu behandeln (Art. 111a Abs. 1 und 2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Entgegen der in der Beschwerde sinngemäss erhobenen Rüge führt eine Prüfung der Akten zur Erkenntnis, dass das SEM sich im vorliegenden Fall keine unrichtige Anwendung der Beweisregel von Art. 7 AsylG vorzuwerfen hat. Wie in der angefochtenen Verfügung mit umfassender Begründung erläutert wird, halten die Vorbringen des Beschwerdeführers in den wesentlichen Punkten den Anforderungen an das reduzierte Beweismass des Glaubhaftmachens nicht stand. In der BzP gab er zu Protokoll, dass er dreimal vom Militär mitgenommen worden sei, wogegen er in der Anhörung hierzu erklärte, er sei zunächst vom Geheimdienst, später von Polizisten und schliesslich von einer Person, von der er nicht gewusst habe, ob sie dem CID (Criminal Investigation Department) angehöre, mitgenommen worden. Die Entgegnungen in der Beschwerde (vgl. daselbst, S. 11), dass die Behörden teils in ziviler Kleidung erschienen und somit nicht klar identifizierbar gewesen seien, vermögen diese Widersprüche nicht zu entkräften, da in den Protokollen keine diesbezüglichen Aussagen des Beschwerdeführers zu finden sind und somit als nachträgliche Sachverhaltsanpassungen erscheinen (so auch der auf Beschwerdeebene zitierte Entscheid: Entscheidungen und Mitteilungen der Schweizerischen Asylrekurskommission [EMARK] 1993/3 E. 3 S. 13). Ob auch die Ausführungen des Beschwerdeführers hinsichtlich seiner behaupteten Kurierdienste zu Gunsten der LTTE widersprüchlich ausgefallen sind, kann vorliegend offengelassen werden, da in Übereinstimmung mit der Beschwerde (vgl. daselbst, S. 10) ein Missverständnis in der Befragung nicht ausgeschlossen werden kann. Sodann ist mit der Vorinstanz einig zu gehen, dass die Aussagen des Beschwerdeführers zu seinen angeblichen Kurierdiensten zu Gunsten der LTTE grundsätzlich als substanzarm bezeichnet werden müssen, er - entgegen der Beschwerde - mithin anlässlich der Befragungen keine vertieften, mit Realkennzeichen versehenen Sachverhaltsschilderungen machte. Zudem mutet die Aussage des Beschwerdeführers, dass die sri-lankischen Behörden ihn nach seiner Inhaftierung zwar freigelassen hätten, ihm aber gleichzeitig ankündigt hätten, ihn bald wieder festzunehmen, nicht plausibel an. Eine allfällige staatliche und asylrelevante Verfolgung des Beschwerdeführers wirkt im Übrigen auch insofern nicht glaubhaft, als sein Vater, von dem er die Aufträge für seine Kurierdienste angeblich entgegengenommen haben will, nach wie vor relativ unbehelligt in Sri Lanka lebt. Dass sein Vater wegen seines Alters nicht im Fokus der sri-lankischen Behörden stehe, wie in der Beschwerde vorgebracht (vgl. daselbst, S. 11 f.), vermag nicht zu überzeugen, da es sich bei ihm um den Hauptverantwortlichen der Kurierdiensttätigkeiten gehandelt haben soll. In Anbetracht der erwähnten erheblichen Unglaubhaftigkeitselemente erübrigt es sich, auf die weiteren Erwägungen des SEM und auf die diesbezüglichen Ausführungen in der Beschwerde näher einzugehen, da sie am Ergebnis nichts zu ändern vermögen. Die Vorinstanz ist folglich zu Recht zur Beurteilung gelangt, dass der Beschwerdeführer im Zeitpunkt seiner Ausreise keiner asylrelevanten Verfolgung ausgesetzt war.</w:t>
      </w:r>
    </w:p>
    <w:p>
      <w:r>
        <w:rPr>
          <w:b/>
        </w:rPr>
        <w:t>E. 4.2</w:t>
      </w:r>
    </w:p>
    <w:p>
      <w:r>
        <w:t>Es bestehen vorliegend auch keine Risikofaktoren (vgl. zu diesen Faktoren Urteil des Bundesverwaltungsgerichts E-1866/2015 vom 15. Juli 2016 E. 9.2.4 [als Referenzurteil publiziert]), bei einer Rückkehr nach Sri Lanka Verfolgungsmassnahmen ausgesetzt zu werden. Der Beschwerdeführer konnte vor seiner Ausreise keine asylrelevante Verfolgung glaubhaft machen. Stattdessen konnte er vor Ort leben, die Schule abschliessen und arbeiten. Die - sofern überhaupt glaubhaften - Ausführungen zu den Beziehungen seines Vaters zu LTTE-Mitgliedern sind zu oberflächlich ausgefallen und haben kein Verfolgungsinteresse seitens der sri-lankischen Behörden an seiner Person ausgelöst respektive haben sich als unglaubhaft herausgestellt. Es bestehen keine hinreichenden Anhaltspunkte dafür, dass dem Beschwerdeführer bei einer Rückkehr nach Sri Lanka persönlich ernsthafte Nachteile im Sinne von Art. 3 AsylG drohen könnten.</w:t>
      </w:r>
    </w:p>
    <w:p>
      <w:r>
        <w:rPr>
          <w:b/>
        </w:rPr>
        <w:t>E. 4.3</w:t>
      </w:r>
    </w:p>
    <w:p>
      <w:r>
        <w:t>Damit ist nach Würdigung der gesamten Umstände als Ergebnis festzuhalten, dass der Beschwerdeführer die Voraussetzungen der Flüchtlingseigenschaft im Sinne von Art. 3 AsylG nicht erfüllt. Folgerichtig bleibt ihm die Gewährung von Asyl durch die schweizerischen Behörden versagt (Art. 2 Abs. 1 und Art. 49 AsylG). Die Ablehnung des entsprechenden Gesuchs durch die Vorinstanz ist zu bestätigen. 5.Gemäss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auf ihn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 auch mit Blick auf die in der Beschwerde zitierten Berichte -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Beschwerdeausführungen noch aus den Akten ergeben sich konkrete Anhaltspunkte dafür, dass der Beschwerdeführer für den Fall einer Ausschaffung nach Sri Lanka dort mit beachtlicher Wahrscheinlichkeit einer nach EMRK oder FoK verbotenen Strafe oder Behandlung ausgesetzt wäre. So weist der Beschwerdeführer kein Profil auf, das auf die Gefahr hinweist, zukünftig staatlichen Verfolgungsmassnahmen ausgesetzt zu sein. Es sind keine Anhaltspunkte ersichtlich, nach denen der Beschwerdeführer Massnahmen zu befürchten hätte, die - wenn überhaupt - über einen sogenannten background check (Befragung und Überprüfung von Tätigkeiten im In- und Ausland) hinausgingen oder ihm persönlich im Falle einer Rückkehr eine Gefährdung drohen könnte. Solches lässt sich gemäss oben stehenden Ausführungen auch nicht annehmen. Aussergewöhnliche Umstände, die gestützt auf die Praxis des EGMR zu Art. 3 EMRK zur Feststellung der Unzulässigkeit des Wegweisungsvollzuges aus gesundheitlichen Gründen führen könnten (vgl. dazu EGMR, Urteil i.S. N gegen Grossbritannien vom 27. Mai 2008, Beschwerde Nr. 26565/05, §§ 34 und 42 ff.; BVGE 2009/2 E. 9.1.3), sind aufgrund der Akten ebenfalls nicht ersichtlich. Der Vollzug der Wegweisung ist zulässig.</w:t>
      </w:r>
    </w:p>
    <w:p>
      <w:r>
        <w:rPr>
          <w:b/>
        </w:rPr>
        <w:t>E. 6.2</w:t>
      </w:r>
    </w:p>
    <w:p>
      <w:r>
        <w:t>Nach Art. 83 Abs. 4 AIG kann der Vollzug für Ausländerinnen und Ausländer unzumutbar sein, wenn sie im Heimat- oder Herkunftsstaat auf Grund von Situationen wie Krieg, Bürgerkrieg, allgemeiner Gewalt und medizinischer Notlage konkret gefährdet sind. Der bewaffnete Konflikt zwischen der sri-lankischen Regierung und den LTTE ist im Mai 2009 zu Ende gegangen. Aktuell herrscht in Sri Lanka weder Krieg noch eine Situation allgemeiner Gewalt; dies gilt auch angesichts der dortigen aktuellen Ereignisse (vgl. Urteil des BVGer D-2205/2018 vom 25. Januar 2019, E. 11.2.1). Mit Referenzurteil E-1866/2015 vom 15. Juli 2016 hat das Bundesverwaltungsgericht seine bisherige Rechtsprechung (vgl. BVGE 2011/24) und die gegenwärtige Praxis des SEM bestätigt, wonach der Wegweisungsvollzug in die Ost- und Nordprovinz zumutbar ist, was gemäss Urteil D-3619/2016 vom 16. Oktober 2017 (als Referenzurteil publiziert) auch für das Vanni-Gebiet gilt. Daran vermögen auch die neusten Gewaltvorfälle in Sri Lanka am 22. April 2019 und der gleichentags von der sri-lankischen Regierung verhängte Ausnahmezustand (vgl. Neue Zürcher Zeitung [NZZ] vom 23. April 2019, Sri Lanka: Colombo spricht von islamistischem Terror, https://www.nzz.ch/.../sri-lanka-colombo-spricht-von-islamistischem-terror-ld.1476769, abgerufen am 01.05.2019; NZZ vom 29. April 2019, 15 Leichen nach Explosionen bei Razzien in Sri Lanka entdeckt - was wir über die Anschläge vom Ostersonntag wissen, https://www.nzz.ch/international/anschlaege-in-sri-lanka-was-wir-wissen-was-unklar-ist-ld.1476859, abgerufen am 01.05.2019; New York Times [NYT], What We Know and Don't Know About the Sri Lanka Attacks, https://www.nytimes.com/2019/04/22/world/asia/sri-lanka-attacks-bombings-explosions-updates.html?action=click&amp;module=Top%20Stories&amp;pgtype=Homepage, abgerufen 01.05.2019) nichts zu ändern. Der Beschwerdeführer stammt ursprünglich aus B._______ (Distrikt B._______/Nordprovinz) und lebte zuletzt in C._______ (Vavuniya Distrikt/Nordprovinz). Der Vollzug in diese Provinz ist im Lichte der Rechtsprechung grundsätzlich zumutbar. In vorliegendem Fall sprechen sodann keine individuellen Gründe gegen einen Wegweisungsvollzug. Beim Beschwerdeführer handelt es sich um einen jungen Mann mit Schulbildung und Arbeitserfahrung in einem (...). Des Weiteren verfügt er in Sri Lanka über ein tragfähiges Beziehungsnetz (Mutter, Vater, Brüder). Besondere Umstände, aufgrund derer von einer Existenzbedrohung ausgegangen werden müsste, sind vorliegend keine ersichtlich. Der Vollzug der Wegweisung erweist sich somit nicht als unzumutbar.</w:t>
      </w:r>
    </w:p>
    <w:p>
      <w:r>
        <w:rPr>
          <w:b/>
        </w:rPr>
        <w:t>E. 6.3</w:t>
      </w:r>
    </w:p>
    <w:p>
      <w:r>
        <w:t>Nach Art. 83 Abs. 2 AIG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6.4</w:t>
      </w:r>
    </w:p>
    <w:p>
      <w:r>
        <w:t>Die Vorinstanz hat den Vollzug demnach zu Recht als zulässig, zumutbar und möglich erachtet. Damit fällt die Anordnung der vorläufigen Aufnahme ausser Betracht (Art. 83 Abs. 1-4 AIG). 7.Aus diesen Erwägungen ergibt sich, dass die angefochtene Verfügung Bundesrecht nicht verletzt und auch sonst nicht zu beanstanden ist (Art. 106 AsylG und Art. 49 VwVG). Die Beschwerde ist abzuweisen.</w:t>
      </w:r>
    </w:p>
    <w:p>
      <w:r>
        <w:rPr>
          <w:b/>
        </w:rPr>
        <w:t>E. 8</w:t>
      </w:r>
    </w:p>
    <w:p>
      <w:r>
        <w:t>Der Beschwerdeführer beantragt die Gewährung der unentgeltlichen Rechtspflege gemäss Art. 65 Abs. 1 VwVG. Aufgrund der vorstehenden Erwägungen ergibt sich, dass seine Begehren als von vornherein aussichtslos zu gelten haben. Damit ist eine der kumulativ zu erfüllenden Voraussetzungen nicht gegeben, weshalb dem Gesuch nicht stattzugeben ist. Aus demselben Grund kann auch dem Gesuch um unentgeltliche Rechtsverbeiständung nicht stattgegeben werden. Bei diesem Ausgang des Verfahrens sind die Kosten von Fr. 750.- (Art. 1-3 des Reglements vom 21. Februar 2008 über die Kosten und Entschädigungen vor dem Bundesverwaltungsgericht [VGKE], SR 173.320.2) somit dem Beschwerdeführer aufzuerlegen (Art. 63 Abs. 1 VwVG). 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