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D-2927/2013 vom 11. Juni 2013</w:t>
      </w:r>
    </w:p>
    <w:p>
      <w:r>
        <w:t>Bundesverwaltungsgericht, 2013-06-11, DE</w:t>
      </w:r>
    </w:p>
    <w:p>
      <w:r>
        <w:rPr>
          <w:b/>
        </w:rPr>
        <w:t xml:space="preserve">Quelle: </w:t>
      </w:r>
      <w:r>
        <w:t>https://mcp.opencaselaw.ch/entscheid/bvger_D-2927_2013</w:t>
      </w:r>
    </w:p>
    <w:p>
      <w:r>
        <w:t>FR: TAF D-2927/2013 du 11 juin 2013</w:t>
      </w:r>
    </w:p>
    <w:p>
      <w:r>
        <w:t>IT: TAF D-2927/2013 del 11 giugno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statt vieler Urteil des Bundesverwaltungsgerichts E-5509/2011 vom 22. November 2011 E. 4.4).</w:t>
      </w:r>
    </w:p>
    <w:p>
      <w:r>
        <w:rPr>
          <w:b/>
        </w:rPr>
        <w:t>E. 5.4</w:t>
      </w:r>
    </w:p>
    <w:p>
      <w:r>
        <w:t>Nach Art. 52 Abs. 2 AsylG kann einer Person, die sich im Ausland befindet, das Asyl verweigert werden, wenn es ihr zugemutet werden kann, sich in einem anderen Staat um Aufnahme zu bemühen.</w:t>
      </w:r>
    </w:p>
    <w:p>
      <w:r>
        <w:rPr>
          <w:b/>
        </w:rPr>
        <w:t>E. 5.5</w:t>
      </w:r>
    </w:p>
    <w:p>
      <w:r>
        <w:t>Im Rahmen einer Gesamtschau ist dabei zu prüfen, ob es aufgrund der ganzen Umstände geboten erscheint, dass es gerade die Schweiz ist, die den angesichts der bestehenden Gefährdung erforderlichen Schutz gewähren soll (vgl. BVGE 2011/10 E. 3.3 S. 126 und E. 5.1 S. 128, sowie die Zusammenfassung der Rechtsprechung im Urteil des Bundesverwal­tungsgerichts D-2018/2011 vom 14. September 2011 E. 7.1).</w:t>
      </w:r>
    </w:p>
    <w:p>
      <w:r>
        <w:rPr>
          <w:b/>
        </w:rPr>
        <w:t>E. 6.1</w:t>
      </w:r>
    </w:p>
    <w:p>
      <w:r>
        <w:t>Die Vorinstanz stellt in der angefochtenen Verfügung fest, gemäss schweizerischer Asylpraxis sei für die Gewährung der Einreise die Gefährdung einer asylsuchenden Person zum Zeitpunkt der Einreisebewilligung massgebend. Vergangene Verfolgung sei somit nur dann asylbeachtlich, wenn sie noch andauere oder konkrete Hinweise auf eine zukünftige Verfolgung bestünden. Die Bewilligung der Einreise in die Schweiz diene nämlich nicht dem Ausgleich ergangenen Unrechts, son­der solle denjenigen gewährt werden, die aktuell des Schutzes des Zu­fluchtslandes bedürften. Obschon die Beschwerdeführerin in Eritrea und Äthiopien unrechtmässig behandelt worden sei, diene das schweizerische Asylrecht nicht dem Ausgleich erlittenen Unrechtes. Insofern könnten die Bedrohungen aufgrund ihrer Intensität zum heutigen Zeitpunkt eine Asylgewährung beziehungsweise eine Einreisebewilligung in die Schweiz nicht begründen. Sie würden über 19 Jahre in der Vergangenheit liegen und seien mit der Einreise in den Sudan als beendet zu betrachten. Das BFM komme demnach zum Schluss, dass zwischen den Vorbringen der Beschwerdeführerin und der von ihr gewünschten Einreise in die Schweiz zum jetzigen Zeitpunkt kein genügend enger zeitlicher und inhaltlicher Kausalzusammenhang bestehe.</w:t>
      </w:r>
    </w:p>
    <w:p>
      <w:r>
        <w:rPr>
          <w:b/>
        </w:rPr>
        <w:t>E. 6.2</w:t>
      </w:r>
    </w:p>
    <w:p>
      <w:r>
        <w:t>Der Vollständigkeit halber sei zu prüfen, ob einer allfälligen Asylgewährung durch die Schweiz der Asylausschlussgrund von Art. 52 Abs. 2 AsylG entgegenstehe. Laut Berichten des UNHCR würden sich zahlreiche eritreische Flüchtlinge und Asylsuchende im Sudan aufhalten. Vor diesem Hintergrund sei nicht zu verkennen, dass die Lage vor Ort für diese Menschen wie auch für die Beschwerdeführerin und ihre beiden Kinder nicht einfach sei. Dennoch bestünden keine konkreten Anhaltspunkte zur Annahme, wonach ein weiterer Verbleib im Sudan nicht zumutbar oder nicht möglich wäre. Flüchtlinge im Sudan, welche vom UNHCR registriert und einem Flücht­lings­la­ger zugeteilt worden seien, hätten sich dort aufzuhalten und bekä­men die nötige Versorgung. Die Beschwerdeführerin verfüge nicht über ein freies Aufenthaltsrecht im ganzen Land. Es sei ihr daher zuzumuten, sich beim UNHCR zu melden, sollte ihre Situation tatsächlich kritisch sein.</w:t>
      </w:r>
    </w:p>
    <w:p>
      <w:r>
        <w:rPr>
          <w:b/>
        </w:rPr>
        <w:t>E. 6.3</w:t>
      </w:r>
    </w:p>
    <w:p>
      <w:r>
        <w:t>Für eritreische Flüchtlinge sei das Leben in D._______ gewiss nicht einfach. Angesichts des Umstandes, dass die Beschwerdeführerin seit 1993 im Sudan lebe, könne jedoch davon ausgegangen werden, dass die Hürden für eine zumutbare Existenz in D._______ in ihrem Fall nicht unüberwindbar seien. Zudem stellten eine schwierige Lebenssituation und insofern humanitäre Überlegungen keinen Grund für eine Einreisebewilligung dar. Überdies lebe im Sudan eine grosse eritreische Diaspora, die für in Not geratene Landsleute bereitstehe und weitgehend Unterstützung biete.</w:t>
      </w:r>
    </w:p>
    <w:p>
      <w:r>
        <w:rPr>
          <w:b/>
        </w:rPr>
        <w:t>E. 6.4</w:t>
      </w:r>
    </w:p>
    <w:p>
      <w:r>
        <w:t>Bei der Anwendung von Art. 52 Abs. 2 AsylG (alt) sei zudem in einer Gesamtschau die Beziehungsnähe zur Schweiz und die Beziehungsnähe zu anderen Staaten zu prüfen. Den Angaben der Beschwerdeführerin zu­folge würden keine nahen Verwandten oder Bezugspersonen in der Schweiz leben. Auch sonst seien in den Akten keine Hinweise auf allfäl­li­ge Anknüpfungspunkte zur Schweiz ersichtlich. Aufgrund dessen sei keine besondere Beziehungsnähe zur Schweiz gegeben, welche die vorangegangenen Feststellungen umstossen könnte.</w:t>
      </w:r>
    </w:p>
    <w:p>
      <w:r>
        <w:rPr>
          <w:b/>
        </w:rPr>
        <w:t>E. 7.1</w:t>
      </w:r>
    </w:p>
    <w:p>
      <w:r>
        <w:t>Wie die Vorinstanz anerkennt auch das Gericht, dass die Lage für eri­treische Flüchtlinge im Sudan nicht einfach ist. Indes legt die Beschwerdeführerin in der Rechtsmitteleingabe mit dem ausführlichen Wiederholen ihrer bisherigen Vorbringen nicht dar, inwiefern ihr persön­lich ein weiterer dortiger Aufenthalt nicht zumutbar und möglich ist, zumal im Gegensatz zu ihren anderslautenden Ausführungen ihr zuzumuten ist, als registrierter Flüchtling des UNHCR den Schutz dieser Organisation in Anspruch zu nehmen, indem sie sich in das ihr zugewiesene Flüchtlingslager begibt. Nebst der Grundversorgung erhält sie dort auch weiteren Beistand. Um Wiederholungen zu vermeiden, kann schliesslich vollumfänglich auf die zutreffenden Erwägungen in der angefochtenen Verfügung verwiesen werden.</w:t>
      </w:r>
    </w:p>
    <w:p>
      <w:r>
        <w:rPr>
          <w:b/>
        </w:rPr>
        <w:t>E. 7.2</w:t>
      </w:r>
    </w:p>
    <w:p>
      <w:r>
        <w:t>Zusammenfassend ist festzustellen, dass der Beschwerdeführerin und ihren Kindern ein weiterer Verbleib im Sudan zumutbar ist und sie auf den Schutz der Schweiz nicht angewiesen sind. Die Vorinstanz hat dem­nach der Beschwerdeführerin und ihren Kindern zu Recht die Einreise in die Schweiz nicht bewilligt und die Asylgesuche abgelehnt.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der Beschwerdefüh­rerin aufzuerlegen (Art. 63 Abs. 1 und 5 VwVG, Art. 1-3 des Reglements vom 21. Februar 2008 über die Kosten und Entschädigungen vor dem Bundesverwaltungsgericht [VGKE, SR 173.320.2]). Aus verwaltungs­ökonomischen Gründen wird indessen auf deren Erhebung verzichtet (Art. 16 Abs. 1 Bst. a VGG i. V. 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