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D-2925/2017 vom 13. Juli 2017</w:t>
      </w:r>
    </w:p>
    <w:p>
      <w:r>
        <w:t>Bundesverwaltungsgericht, 2017-07-13, IT</w:t>
      </w:r>
    </w:p>
    <w:p>
      <w:r>
        <w:rPr>
          <w:b/>
        </w:rPr>
        <w:t xml:space="preserve">Quelle: </w:t>
      </w:r>
      <w:r>
        <w:t>https://mcp.opencaselaw.ch/entscheid/bvger_D-2925_2017</w:t>
      </w:r>
    </w:p>
    <w:p>
      <w:r>
        <w:t>FR: TAF D-2925/2017 du 13 juillet 2017</w:t>
      </w:r>
    </w:p>
    <w:p>
      <w:r>
        <w:t>IT: TAF D-2925/2017 del 13 luglio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24 aprile 2017 è annullata e gli atti di causa sono trasmessi alla SEM per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 e non vengono assegnate indennità ripetibili.</w:t>
      </w:r>
    </w:p>
    <w:p>
      <w:r>
        <w:rPr>
          <w:b/>
        </w:rPr>
        <w:t>E. 3</w:t>
      </w:r>
    </w:p>
    <w:p>
      <w:r>
        <w:t>L'anticipo spese di CHF 750.-, versato il 19 giugno 2017, è restituito al ricorrente.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