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D-2924/2013 vom 3. Juli 2013</w:t>
      </w:r>
    </w:p>
    <w:p>
      <w:r>
        <w:t>Bundesverwaltungsgericht, 2013-07-03, DE</w:t>
      </w:r>
    </w:p>
    <w:p>
      <w:r>
        <w:rPr>
          <w:b/>
        </w:rPr>
        <w:t xml:space="preserve">Quelle: </w:t>
      </w:r>
      <w:r>
        <w:t>https://mcp.opencaselaw.ch/entscheid/bvger_D-2924_2013</w:t>
      </w:r>
    </w:p>
    <w:p>
      <w:r>
        <w:t>FR: TAF D-2924/2013 du 3 juillet 2013</w:t>
      </w:r>
    </w:p>
    <w:p>
      <w:r>
        <w:t>IT: TAF D-2924/2013 del 3 luglio 2013</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 was hier nicht der Fall ist - bei Vorliegen eines Auslieferungsersuchens des Staates, vor welchem die beschwerdeführende Partei Schutz sucht (Art. 105 AsylG; Art. 83 Bst. c Ziff. 1 und Bst. d Ziff. 1 des Bundesgerichts­ge­setzes vom 17. Juni 2005 [BGG, SR 173.110]).</w:t>
      </w:r>
    </w:p>
    <w:p>
      <w:r>
        <w:rPr>
          <w:b/>
        </w:rPr>
        <w:t>E. 1.2</w:t>
      </w:r>
    </w:p>
    <w:p>
      <w:r>
        <w:t>Gemäss der Übergangsbestimmung des Bundesgesetzes vom 28. September 2012 (Dringliche Änderungen des Asylgesetzes), in Kraft seit 29. September 2012 (AS 2012 5359), gelten für Asylgesuche, die im Ausland vor dem Inkrafttreten der Änderung vom 28. September 2012 ge­stellt worden sind, die Artikel 12, 19, 20, 41 Absatz 2, 52 und 68 in der bisherigen Fassung des AsylG.</w:t>
      </w:r>
    </w:p>
    <w:p>
      <w:r>
        <w:rPr>
          <w:b/>
        </w:rPr>
        <w:t>E. 2.1</w:t>
      </w:r>
    </w:p>
    <w:p>
      <w:r>
        <w:t>Die Amtssprachen des Bundes sind Deutsch, Französisch und Ita­lie­nisch (Art. 70 Abs. 1 der Bundesverfassung der Schweizerischen Eid­ge­nossenschaft vom 18. April 1999 [BV, SR 101]). Die Beschwerde ist in englischer Sprache und somit nicht in einer Amtssprache des Bundes ab­gefasst. Auf die Ansetzung einer Frist zur Beschwerdeverbesserung kann indessen aus prozessökonomischen Grün­den verzichtet werden, da der Eingabe genügend klare, sinn­gemässe Rechtsbegehren und deren Be­gründung zu entnehmen sind und ohne Weiteres darüber befunden wer­den kann.</w:t>
      </w:r>
    </w:p>
    <w:p>
      <w:r>
        <w:rPr>
          <w:b/>
        </w:rPr>
        <w:t>E. 2.2</w:t>
      </w:r>
    </w:p>
    <w:p>
      <w:r>
        <w:t>Die Beschwerde ist somit als frist- und formgerecht eingereicht zu er­achten; der Beschwerdeführer ist legitimiert (Art. 105 und Art. 108 Abs. 1 AsylG, Art. 48 Abs. 1 sowie Art. 52 VwVG). Auf die Beschwerde ist folglich ein­zutreten.</w:t>
      </w:r>
    </w:p>
    <w:p>
      <w:r>
        <w:rPr>
          <w:b/>
        </w:rPr>
        <w:t>E. 3</w:t>
      </w:r>
    </w:p>
    <w:p>
      <w:r>
        <w:t>Mit Beschwerde kann die Verletzung von Bundesrecht, die unrichtige oder unvollständige Feststellung des rechtserheblichen Sachverhalts und die Unangemessenheit gerügt werden (Art. 106 Abs. 1 AsylG).</w:t>
      </w:r>
    </w:p>
    <w:p>
      <w:r>
        <w:rPr>
          <w:b/>
        </w:rPr>
        <w:t>E. 4.1</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w:t>
      </w:r>
    </w:p>
    <w:p>
      <w:r>
        <w:rPr>
          <w:b/>
        </w:rPr>
        <w:t>E. 4.2</w:t>
      </w:r>
    </w:p>
    <w:p>
      <w:r>
        <w:t>Gestützt auf Art. 111a Abs. 1 AsylG wurde auf die Durchführung eines Schriftenwechsels verzichtet.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5.2</w:t>
      </w:r>
    </w:p>
    <w:p>
      <w:r>
        <w:t>Das Bundesamt kann ein im Ausland gestelltes Asylgesuch ablehnen, wenn die asylsuchende Person keine Verfolgung glaubhaft machen oder ihr die Aufnahme in einem Drittstaat zugemutet werden kann (Art. 3, Art. 7 und Art. 52 Abs. 2 AsylG). Gemäss Art. 20 Abs. 2 AsylG bewilligt das BFM einem Asylsuchenden die Einreise zur Abklärung des Sachverhalts, wenn ihm nicht zugemutet werden kann, im Wohnsitz- oder Aufenthaltsstaat zu bleiben oder in ein anderes Land auszureisen.</w:t>
      </w:r>
    </w:p>
    <w:p>
      <w:r>
        <w:rPr>
          <w:b/>
        </w:rPr>
        <w:t>E. 5.3</w:t>
      </w:r>
    </w:p>
    <w:p>
      <w:r>
        <w:t>Ein Asylgesuch kann gemäss Art. 19 AsylG im Ausland bei einer schweizerischen Vertretung gestellt werden, die es mit einem Bericht an das Bundesamt überweist (Art. 20 Abs. 1 AsylG). Hinsichtlich des Verfah­rens bei der schweizerischen Vertretung im Ausland sieht Art. 10 der Asyl­verordnung 1 vom 11. August 1999 über Verfahrensfragen (AsylV 1, SR 142.311) vor, dass diese mit der asylsuchenden Person in der Regel eine Befragung durchführt (Art. 10 Abs. 1 AsylV 1). Ist dies nicht möglich, so wird die asylsuchende Person aufgefordert, ihre Asylgründe schriftlich festzuhalten (Art. 10 Abs. 2 AsylV 1). Eine Befragung beziehungsweise eine schriftliche Sachverhaltsabklärung kann sich erübrigen, wenn der Sachverhalt bereits aufgrund des eingereichten Asylgesuchs als entscheidreif erstellt erscheint; der asylsuchenden Person ist aber diesfalls im Sinne des rechtlichen Gehörs die Gelegenheit zu geben, sich zu ei­nem abzusehenden negativen Entscheid zumindest schriftlich zu äussern (vgl. BVGE 2007/30 E. 5.7).</w:t>
      </w:r>
    </w:p>
    <w:p>
      <w:r>
        <w:rPr>
          <w:b/>
        </w:rPr>
        <w:t>E. 5.3.1</w:t>
      </w:r>
    </w:p>
    <w:p>
      <w:r>
        <w:t>Der Beschwerdeführer wurde nicht zu seinen Asylgründen befragt. Er hat seine Vorbringen jedoch im Asylgesuch vom 27. März 2011 schriftlich dargelegt. Zudem wurde ihm mit Zwischenverfügung des BFM vom 20. August 2012 ein Katalog von für die vollständige Erstellung des rechtserheblichen Sachverhalts noch zu beantwortenden offenen Fragen zugestellt, wozu er am 9. September 2012 schriftlich Stellung nahm. Ferner wurde dem Beschwerdeführer das rechtliche Gehör zu einer allfälligen Ablehnung des Asylgesuchs und der Einreise in die Schweiz gewährt (vgl. Ziffer 5). Der entscheidwesentliche Sachverhalt erscheint angesichts der schriftlichen Darlegung der Asylgründe soweit erstellt, als dass die entscheidrelevanten Elemente vorliegen.</w:t>
      </w:r>
    </w:p>
    <w:p>
      <w:r>
        <w:rPr>
          <w:b/>
        </w:rPr>
        <w:t>E. 5.3.2</w:t>
      </w:r>
    </w:p>
    <w:p>
      <w:r>
        <w:t>Bei dieser Sachlage bestand keine Veranlassung, den Beschwerdeführer vorgängig eines Entscheides durch eine schweizerische Vertretung zusätzlich persönlich anhören zu lassen. Das BFM hat den verfahrensrechtlichen Anforderungen damit Genüge getan.</w:t>
      </w:r>
    </w:p>
    <w:p>
      <w:r>
        <w:rPr>
          <w:b/>
        </w:rPr>
        <w:t>E. 5.4</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betreffenden Person, mithin die Prüfung der Fragen, ob eine Gefährdung im Sinne von Art. 3 AsylG glaubhaft gemacht wird und ob der Verbleib am Aufenthaltsort für die Dauer der Sachverhaltsabklärung zugemutet werden kann (vgl. BVGE 2011/10 E. 3.3 S. 126 und E. 5.1 S. 128, vgl. auch die Zusammenfassung der Rechtsprechung im Urteil D-2018/2011 vom 14. September 2011 E. 7.1).</w:t>
      </w:r>
    </w:p>
    <w:p>
      <w:r>
        <w:rPr>
          <w:b/>
        </w:rPr>
        <w:t>E. 5.5</w:t>
      </w:r>
    </w:p>
    <w:p>
      <w:r>
        <w:t>Nach Art. 52 Abs. 2 AsylG kann einer Person, die sich im Ausland befindet, das Asyl verweigert werden, wenn es ihr zugemutet werden kann, sich in einem anderen Staat um Aufnahme zu bemühen. Bei der Anwendung von Art. 52 Abs. 2 AsylG ist in einer Gesamtschau zu prüfen, ob es aufgrund der ganzen Umstände geboten erscheint, dass es gerade die Schweiz ist, die den angesichts der bestehenden Gefährdung erforderlichen Schutz gewähren soll. Dabei sind namentlich die Beziehungsnähe zur Schweiz, die Möglichkeit der Schutzgewährung durch einen anderen Staat, die Beziehungsnähe zu anderen Staaten, die praktische Möglichkeit und objektive Zumutbarkeit der anderweitigen Schutzsuche sowie die voraussichtlichen Eingliederungs- und Assimilationsmöglichkeiten in Betracht zu ziehen (vgl. BVGE 2011/10 E. 3.3 S. 126 und E. 5.1 S. 128, vgl. auch die Zusammenfassung der Rechtsprechung im Urteil D-2018/2011 vom 14. September 2011 E. 7.1).</w:t>
      </w:r>
    </w:p>
    <w:p>
      <w:r>
        <w:rPr>
          <w:b/>
        </w:rPr>
        <w:t>E. 6.1</w:t>
      </w:r>
    </w:p>
    <w:p>
      <w:r>
        <w:t>Das Bundesverwaltungsgericht kommt zum Schluss, dass die Voraussetzungen für eine Bewilligung der Einreise in die Schweiz gestützt auf Art. 20 Abs. 2 und 3 AsylG im Hinblick auf die Ausreisegründe aus dem Heimatland nicht erfüllt sind, da zwischen den fluchtauslösenden Ereignissen im Jahr 1981 in Äthiopien und dem Entscheidzeitpunkt kein genügend enger zeitlicher und inhaltlicher Kausalzusammenhang besteht. Allerdings ist hinsichtlich der nicht unglaubhaften Probleme des Beschwerdeführers mit den äthiopischen Behörden vor seiner Ausreise 1981 und der Tatsache, dass er nach wie vor Mitglied der TAND ist, nicht auszuschliessen, dass er bei einer Rückkehr nach Äthiopien einer asylrelevanten Verfolgung ausgesetzt wäre. Nach Prüfung der Akten kommt das Bundesverwaltungsgericht jedoch zum Schluss, dass sich die diesbezüglichen Erwägungen in der angefochtenen Verfügung als zutreffend erweisen, wonach es dem Beschwerdeführer zu­zumuten ist, weiterhin den Schutz des Drittstaates Sudan in Anspruch zu nehmen (Art. 20 Abs. 2 und Art. 52 Abs. 2 AsylG). Daran vermögen auch die Ausführungen in der Beschwerde nichts zu ändern. Das Bundesamt hat richtigerweise berücksichtigt, dass die Situation der zahlreichen äthiopischen Flüchtlinge im Sudan nicht einfach sei. Dennoch bestehen im vorliegenden Verfahren keine konkreten Anhaltspunkte für die Annahme, dass dem Beschwerdeführer ein weiterer Verbleib im Sudan nicht zumutbar oder nicht möglich wäre. Der Beschwerdeführer hält sich seit 32 Jahren im Sudan auf, wo er vom UNHCR registriert und als Flüchtling anerkannt wurde. Gemäss eigenen Angaben hat er das Flüchtlingslager, wo seine Versorgung grundsätzlich gewährleistet gewesen wäre, freiwillig verlassen und es vorgezogen, sich in Khartum ausserhalb desselben aufzuhalten. Dass eine Rückkehr ins Flüchtlingslager nicht möglich wäre, macht er nicht geltend. Es ist ihm grundsätzlich zuzumuten, sich dorthin zurückzubegeben und dort um entsprechenden Schutz nachzusuchen.</w:t>
      </w:r>
    </w:p>
    <w:p>
      <w:r>
        <w:rPr>
          <w:b/>
        </w:rPr>
        <w:t>E. 6.2</w:t>
      </w:r>
    </w:p>
    <w:p>
      <w:r>
        <w:t>Aus den Akten geht hervor, dass der Beschwerdeführer auf beiden Augen an einem Sehfehler leidet. Der behandelnde Arzt diagnostizierte ausserdem ein Auswärtsschielen und eine Hornhauttrübung am rechten Auge. Zudem hat der Beschwerdeführer seit 15 Jahren ein stumpfes Verletzungstrauma. Der Arzt empfahl, betreffend das Schielen eine YAG-Laseroperation vornehmen zu lassen, die allerdings im Sudan nicht möglich sei (vgl. Arztbericht vom 11. August 2009). Gemäss einem Schreiben des UNHCR vom 2. November 2009 kann der Beschwerdeführer im Maka Krankenhaus in Khartum insoweit behandelt werden, dass sich die Sehkraft seines linken Auges verbessern lässt. Weiter wird in dem Schreiben ausgeführt, dass gemäss der verschiedenen medizinischen Berichte, die er beim UNHCR eingereicht habe, sein rechtes Auge nicht mehr behandelt werden könne. Ausserdem garantierte das UNHCR die Kostenübernahme für die Behandlung des linken Auges. Insoweit ist davon auszugehen, dass der Beschwerdeführer im Sudan Zugang zu der nötigen medizinischen Versorgung hat. Bezüglich des rechten Auges erklärte das UNHCR, dass dieses gar nicht mehr behandelt werden könne. Soweit der behandelnde Arzt eine Laseroperation vorschlug, ist davon auszugehen, dass damit keine Verbesserung der Sehstärke hergestellt werden könnte sondern es sich eher um einen kosmetischen Eingriff handeln würde. Deswegen besteht keine Veranlassung, dass dem Beschwerdeführer deshalb die Einreise in die Schweiz bewilligt werden sollte. Zusammenfassend ist festzuhalten, dass dem Beschwerdeführer - was seine gesundheitlichen Probleme anbelangt - zugemutet werden kann, die Behandlung im Sudan fortzusetzen.</w:t>
      </w:r>
    </w:p>
    <w:p>
      <w:r>
        <w:rPr>
          <w:b/>
        </w:rPr>
        <w:t>E. 6.3</w:t>
      </w:r>
    </w:p>
    <w:p>
      <w:r>
        <w:t>Schliesslich ist festzustellen, dass keine nahen Verwandten oder Bezugspersonen des Beschwerdeführers in der Schweiz leben, und den Akten auch sonst keine Hinweise auf Anknüpfungspunkte zur Schweiz zu entnehmen sind.</w:t>
      </w:r>
    </w:p>
    <w:p>
      <w:r>
        <w:rPr>
          <w:b/>
        </w:rPr>
        <w:t>E. 6.4</w:t>
      </w:r>
    </w:p>
    <w:p>
      <w:r>
        <w:t>Der Beschwerdeführer vermochte insgesamt nicht aufzuzeigen, dass er auf die Schutzgewährung durch die Schweiz angewiesen ist beziehungsweise ihm gerade die Schweiz den erforderlichen Schutz gewähren muss. Der weitere Verbleib im Sudan ist ihm nach dem Gesagten zuzumuten und das BFM hat ihm zu Recht die Einreise in die Schweiz verweigert und das Asylgesuch abgelehnt.</w:t>
      </w:r>
    </w:p>
    <w:p>
      <w:r>
        <w:rPr>
          <w:b/>
        </w:rPr>
        <w:t>E. 7</w:t>
      </w:r>
    </w:p>
    <w:p>
      <w:r>
        <w:t>Aus diesen Erwägungen ergibt sich, dass die angefochtene Verfügung Bundesrecht nicht verletzt, den rechtserheblichen Sachverhalt richtig und vollständig feststellt und angemessen ist (Art. 106 Abs. 1 AsylG). Die Beschwerde ist deshalb abzuweisen.</w:t>
      </w:r>
    </w:p>
    <w:p>
      <w:r>
        <w:rPr>
          <w:b/>
        </w:rPr>
        <w:t>E. 8</w:t>
      </w:r>
    </w:p>
    <w:p>
      <w:r>
        <w:t>Bei diesem Ausgang des Verfahrens wären dessen Kosten grundsätzlich dem Beschwerdeführer aufzuerlegen (Art. 63 Abs. 1 VwVG). Aus verwaltungsökonomischen Gründen sowie in Anwendung von Art. 63 Abs. 1 in fine VwVG und Art. 2 und 6 Bst. b des Reglements vom 21. Februar 2008 über die Kosten und Entschädigungen vor dem Bundesverwaltungsgericht (VGKE, SR 173.320.2) ist vorliegend jedoch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