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D-2920/2012 vom 6. Juni 2012</w:t>
      </w:r>
    </w:p>
    <w:p>
      <w:r>
        <w:t>Bundesverwaltungsgericht, 2012-06-06, DE</w:t>
      </w:r>
    </w:p>
    <w:p>
      <w:r>
        <w:rPr>
          <w:b/>
        </w:rPr>
        <w:t xml:space="preserve">Quelle: </w:t>
      </w:r>
      <w:r>
        <w:t>https://mcp.opencaselaw.ch/entscheid/bvger_D-2920_2012</w:t>
      </w:r>
    </w:p>
    <w:p>
      <w:r>
        <w:t>FR: TAF D-2920/2012 du 6 juin 2012</w:t>
      </w:r>
    </w:p>
    <w:p>
      <w:r>
        <w:t>IT: TAF D-2920/2012 del 6 giugno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 im Wesentlichen fest, der Abgleich der Fingerabdrücke mit der Zentraleinheit EURODAC weise nach, dass der Beschwerdeführer am 16. Februar 2005 in Spanien ein Asylgesuch eingereicht habe. Die spanischen Behörden hätten das Ersuchen des BFM um Übernahme des Beschwerdeführers gestützt auf Art. 16 Abs. 1 Bst. e Dublin-II-VO gutgeheissen. Somit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Spanien, das Asyl- und Wegweisungsverfahren durchzuführen. Es lägen keine Hinweise vor, dass Spanien seinen völkerrechtlichen Verpflichtungen nicht nachgekommen sei und das Asyl- und Wegweisungsverfahren nicht korrekt durchgeführt habe. Die Ausführungen des Beschwerdeführers vermöchten die Zuständigkeit Spaniens zur Durchführung des Asyl- und Wegweisungsverfahrens nicht zu widerlegen. Die Überstellung an Spanien habe - vorbehältlich einer allfälligen Unterbrechung oder Verlängerung (Art. 19 f. Dublin-II-VO) - bis spätestens am 11. November 2012 zu erfolgen. Den Vollzug der Wegweisung erachtete die Vorinstanz als zulässig, zumutbar und möglich.</w:t>
      </w:r>
    </w:p>
    <w:p>
      <w:r>
        <w:rPr>
          <w:b/>
        </w:rPr>
        <w:t>E. 5.3</w:t>
      </w:r>
    </w:p>
    <w:p>
      <w:r>
        <w:t>Aus den Akten - insbesondere dem EURODAC-Treffer - ergibt sich, dass der Beschwerdeführer in Spanien am 16. Februar 2005 ein Asylgesuch stellte. Da das BFM die spanischen Behörden am 7. Mai 2012 um Wiederaufnahme des Beschwerdeführers gemäss Art. 16 Abs. 1 Bst. e Dublin-II-VO ersuchte, und diese am 11. Mai 2012 gestützt auf diese Bestimmung einer Überstellung des Beschwerdeführers zustimmten, ist die Grundlage für einen Nichteintretensentscheid in Anwendung von Art. 34 Abs. 2 Bst. d AsylG ohne Weiteres gegeben. Die grundsätzliche Zuständigkeit Spaniens gemäss Art. 3 Abs. 1 Dublin-II-VO wird in der Beschwerde nicht bestritten, hingegen wird vom Beschwerdeführer sinngemäss geltend gemacht, das BFM hätte vorliegend die Souveränitätsklausel (Art. 3 Abs. 2 Dublin-II-VO und Art. 29a Abs. 3 der Asylverordnung 1 vom 11. August 1999 über Verfahrensfragen [AsylV 1, SR 142.311]) anwenden müssen, da seine Wegweisung nach Spanien aufgrund seiner gesundheitlichen Probleme nicht zumutbar sei. Anlässlich der Befragung zur Person machte er hierzu geltend, in seinem Heimatland habe er sich bei einem Unfall den rechten Arm gebrochen, den er seither nicht mehr biegen könne. In Spanien habe er sich zudem eine Verletzung am linken Auge zugezogen. Ausserdem leide er gelegentlich an starken Bauchschmerzen. In der Rechtsmittelschrift führte er im Weiteren aus, bei einem Besuch im Kantonsspital D._______ sei ihm mitgeteilt worden, dass bei ihm der Verdacht auf eine HIV-Infektion bestehe. Bezüglich dieser gesundheitlichen Beschwerden ist festzuhalten, dass Spanien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Spanien ist als nach Art. 3 Abs. 1 Dublin-II-VO zuständiger Staat zudem gehalten,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welche unter anderem die medizinische Versorgung garantiert, anzuwenden respektive umzusetzen. Es bestehen keine ernsthaften Hinweise darauf, Spanien würde sich im Falle des Beschwerdeführers nicht an die aus diesen Übereinkommen resultierenden Verpflichtungen, insbesondere das Rückschiebungsverbot oder einschlägige Normen der EMRK, halten. Nach dem Gesagten ist daher davon auszugehen, dass der Beschwerdeführer - namentlich auch im Hinblick auf eine allfällig bestehende HIV-Infektion - bei Bedarf in Spanien eine adäquate medizinische Betreuung für die von ihm geltend gemachten gesundheitlichen Probleme in Anspruch nehmen kann. Demzufolge ist der Antrag auf Fristerstreckung zur Nachreichung eines ärztlichen Berichts abzuweisen, da vorliegend davon ausgegangen werden kann, der in Aussicht gestellte ärztliche Bericht werde keine Erkenntnisse zu Tage fördern, welche in Bezug auf den Vollzug der Wegweisung des Beschwerdeführers nach Spanien zu einer anderen Beurteilung führen könnten (antizipierte Beweiswürdigung: vgl. BVGE 2008/24 E. 7.2 S. 357, André Moser/Michael Beusch/Lorenz Kneubühler, Prozessieren vor dem Bundesverwaltungsgericht, Basel 2008, S. 165 Rz. 3.144). Unter diesen Umständen sind somit keine konkreten Anhaltspunkte dafür ersichtlich, der Beschwerdeführer würde im Falle einer Rückkehr nach Spanien in eine existenzbedrohende Situation geraten. Für das Bundesverwaltungsgericht sind somit keine Gründe ersichtlich, die das BFM zur Ausübung des Selbsteintrittsrechts der Schweiz hätten veranlassen sollen. Alleine der vom Beschwerdeführer geäusserte Wunsch, in der Schweiz medizinisch behandelt zu werden, ist kein Grund, eine Überstellung nach Spanien auszuschliessen. Da vorliegend der Sachverhalt genügend erstellt ist, ist das Eventualbegehren des Beschwerdeführers, wonach die angefochtene Verfügung aufzuheben und das BFM anzuweisen sei, die Zumutbarkeit der Wegweisung neu zu prüfen, abzuweisen.</w:t>
      </w:r>
    </w:p>
    <w:p>
      <w:r>
        <w:rPr>
          <w:b/>
        </w:rPr>
        <w:t>E. 5.4</w:t>
      </w:r>
    </w:p>
    <w:p>
      <w:r>
        <w:t>Nach dem Gesagten erübrigt es sich, auf die Ausführungen und Einwände in der Beschwerde sowie auf die eingereichten Beweismittel weiter einzugehen, da sie am Ergebnis nichts ändern. Das BFM ist in Anwendung von Art. 34 Abs. 2 Bst. d AsylG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2009/50 E. 9).</w:t>
      </w:r>
    </w:p>
    <w:p>
      <w:r>
        <w:rPr>
          <w:b/>
        </w:rPr>
        <w:t>E. 6.2</w:t>
      </w:r>
    </w:p>
    <w:p>
      <w:r>
        <w:t>Im Rahmen des Dublin-Verfahrens - bei dem es sich, wie bereits erwähnt,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Prüfung muss, soweit notwendig, vielmehr bereits im Rahmen des Dublin-Verfah­rens stattfinden (vgl. BVGE 2010/45 E. 10.2 und vorstehende Erwägungen).</w:t>
      </w:r>
    </w:p>
    <w:p>
      <w:r>
        <w:rPr>
          <w:b/>
        </w:rPr>
        <w:t>E. 6.3</w:t>
      </w:r>
    </w:p>
    <w:p>
      <w:r>
        <w:t>Die vom BFM verfügte Wegweisung und deren Vollzug nach Spanien sind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ist das Begehren um Verzicht auf die Erhebung eines Kostenvorschusses gegenstandslos geworden.</w:t>
      </w:r>
    </w:p>
    <w:p>
      <w:r>
        <w:rPr>
          <w:b/>
        </w:rPr>
        <w:t>E. 9.1</w:t>
      </w:r>
    </w:p>
    <w:p>
      <w:r>
        <w:t>Aufgrund vorstehender Erwägungen erweist sich die Beschwerde als aussichtslos, weshalb das Gesuch um Gewährung der unentgeltlichen Rechtspflege im Sinne von Art. 65 Abs. 1 VwVG - unbesehen der Bedürftigkeit des Beschwerdeführers -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