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D-2919/2010 vom 4. Oktober 2010</w:t>
      </w:r>
    </w:p>
    <w:p>
      <w:r>
        <w:t>Bundesverwaltungsgericht, 2010-10-04, DE</w:t>
      </w:r>
    </w:p>
    <w:p>
      <w:r>
        <w:rPr>
          <w:b/>
        </w:rPr>
        <w:t xml:space="preserve">Quelle: </w:t>
      </w:r>
      <w:r>
        <w:t>https://mcp.opencaselaw.ch/entscheid/bvger_D-2919_2010</w:t>
      </w:r>
    </w:p>
    <w:p>
      <w:r>
        <w:t>FR: TAF D-2919/2010 du 4 octobre 2010</w:t>
      </w:r>
    </w:p>
    <w:p>
      <w:r>
        <w:t>IT: TAF D-2919/2010 del 4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der Beschwerdeführer den Wortlaut sämtlicher Protokolle mit seiner Unterschrift bestätigt hat und sich deshalb seine Aussagen grundsätzlich entgegenhalten lassen muss.</w:t>
      </w:r>
    </w:p>
    <w:p>
      <w:r>
        <w:rPr>
          <w:b/>
        </w:rPr>
        <w:t>E. 5.2</w:t>
      </w:r>
    </w:p>
    <w:p>
      <w:r>
        <w:t>Die Vorbringen in der Rechtsmitteleingabe vom 26. April 2010 sind nicht geeignet, eine Änderung der vorinstanzlichen Verfügung zu bewirken. Der Argumentation des BFM werden keine stichhaltigen und substanziierten Gründe entgegengesetzt. Nicht überzeugend findet das Gericht insbesondere den Einwand in der Beschwerde, wonach zwischen der ersten und der zweiten Bundesanhörung zwei Jahre und seit den Ereignissen, die zur Flucht geführt hätten, vier Jahre vergangen seien, weshalb widersprüchliche Darstellungen in Kauf genommen werden müssten, zumal es notorisch sei, dass mit dem Zeitablauf auch die Erinnerungsfähigkeit schwinde. Dazu ist festzuhalten, dass Asylbewerber im Rahmen der Befragungen lediglich selber Erlebtes wiedergeben müssen und nicht komplizierte und abstrakte Erörterungen anzustellen brauchen. Es darf daher erwartet werden, dass sie in der Lage sind, ihre Vorbringen auch nach längerem Zeitablauf zumindest in den wesentlichen Zügen wiederholt übereinstimmend vorzutragen. Dies gilt vorliegend umso mehr, als es sich bei den vom Beschwerdeführer geltend gemachten Verfolgungsvorbringen um einschneidende Erlebnisse handelt, die erfahrungsgemäss besonders gut im Gedächtnis haften bleiben. Bezüglich der Behauptung in der Beschwerde, wonach der Beschwerdeführer anlässlich der Befragungen nicht verstanden habe, was der Unterschied zwischen Einzelhaft und Gemeinschaftshaft sei, ist festzustellen, dass eine derartige Interpretation der Aussagen des Beschwerdeführers in den Akten keine Stütze findet, weshalb sie als reine Schutzbehauptung zu werten ist, um seine offensichtlich widersprüchlichen Aussagen zu rechtfertigen. Für das Bundesverwaltungsgericht besteht nach Überprüfung der Akten keine Veranlassung, die Erwägungen des BFM zu beanstanden. Um Wiederholungen zu vermeiden ist daher auf die zutreffenden Aus-führungen in der angefochtenen Verfügung zu verweisen. In Ergän-zung dazu ist festzustellen, dass sich der Beschwerdeführer anlässlich der Befragungen auch bezüglich der Person, von der er die Flugblätter der Pezhak-Partei erhalten haben will, krass widersprochen hat (vgl. Akten BFM A 8/20 S. 11; A 18/28, S. 9), was die Glaubhaftigkeit der geltend gemachten politischen Aktivitäten und die daraus resultieren-den Verfolgung durch die iranischen Behörden ebenfalls erheblich in Frage stellt. Nach dem Gesagten folgt, dass der Beschwerdeführer keine Gründe nach Art. 3 AsylG nachweisen oder glaubhaft machen konnte. Die Vorinstanz hat daher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aussetzten würde, besteht mithin nicht.</w:t>
      </w:r>
    </w:p>
    <w:p>
      <w:r>
        <w:rPr>
          <w:b/>
        </w:rPr>
        <w:t>E. 7.3.3</w:t>
      </w:r>
    </w:p>
    <w:p>
      <w:r>
        <w:t>Der - soweit aktenkundig - gesunde Beschwerdeführer wohnte vor seiner Ausreise aus seinem Heimatland fast sein ganzes Leben in der Provinz E._______, wo gemäss seinen eigenen Aussagen auch sein Vater, seine beiden Ehefrauen, seine Kinder und weitere nahe Verwandte leben, weshalb anzunehmen ist, dass er bei seiner Rückkehr dorthin ein soziales Netz vorfinden wird, zumal er bis kurz vor seiner Ausreise aus dem Iran mit seiner ersten Ehefrau zusammengelebt hat. Überdies besitzt der Beschwerdeführer nach eigenen Aussagen in seiner Heimat zwei Häuser und zwei Geschäfte (Akten BFM A 8/20, S. 6), weshalb davon auszugehen ist, er könne sich in seiner Heimat auch in wirtschaftlicher Hinsicht wieder integrie-ren. Nach dem Gesagten kann der Vollzug der Wegweisung in sein Heimatland nicht als unzumutbar bezeichnet werden.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11. Mai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