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D-2918/2013 vom 3. Juli 2013</w:t>
      </w:r>
    </w:p>
    <w:p>
      <w:r>
        <w:t>Bundesverwaltungsgericht, 2013-07-03, DE</w:t>
      </w:r>
    </w:p>
    <w:p>
      <w:r>
        <w:rPr>
          <w:b/>
        </w:rPr>
        <w:t xml:space="preserve">Quelle: </w:t>
      </w:r>
      <w:r>
        <w:t>https://mcp.opencaselaw.ch/entscheid/bvger_D-2918_2013</w:t>
      </w:r>
    </w:p>
    <w:p>
      <w:r>
        <w:t>FR: TAF D-2918/2013 du 3 juillet 2013</w:t>
      </w:r>
    </w:p>
    <w:p>
      <w:r>
        <w:t>IT: TAF D-2918/2013 del 3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Die Beschwerdeschrift ist mit keiner Unterschrift versehen. Allerdings trägt das Zustellcouvert an die Botschaft den handschriftlichen Namenszug des Beschwerdeführers, so dass die Formerfordernisse von Art. 52 Abs. 1 VwVG erfüllt sind (vgl. Entscheidungen und Mitteilungen der Schweizerischen Asylrekurskommission [EMARK] 2003 Nr. 16 E. 2 S. 98 ff.).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VwVG).</w:t>
      </w:r>
    </w:p>
    <w:p>
      <w:r>
        <w:rPr>
          <w:b/>
        </w:rPr>
        <w:t>E. 1.4</w:t>
      </w:r>
    </w:p>
    <w:p>
      <w:r>
        <w:t>Die Amtssprachen des Bundes sind Deutsch, Französisch und Italienisch (Art. 70 Abs. 1 der Bundesverfassung der Schweizerischen Eidgenossenschaft vom 18. April 1999 [BV, SR 101]). Die Beschwerde ist nicht in einer Amtssprache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S. 20 f. und BVGE 2011/10 E. 3 - 5 S. 126 ff.) .</w:t>
      </w:r>
    </w:p>
    <w:p>
      <w:r>
        <w:rPr>
          <w:b/>
        </w:rPr>
        <w:t>E. 5.3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bereits vorstehend unter E. 5.2 erwähnten Kriterien zu berücksichtigen (vgl. EMARK 1997 Nr. 15, insb. E. 2f S. 131 ff.; vgl. auch BVGE 2012/3 E. 2.3 S. 20 f. und BVGE 2011/10 E. 3.2 S. 126 und E. 5.1 S. 128).</w:t>
      </w:r>
    </w:p>
    <w:p>
      <w:r>
        <w:rPr>
          <w:b/>
        </w:rPr>
        <w:t>E. 5.4</w:t>
      </w:r>
    </w:p>
    <w:p>
      <w:r>
        <w:t>Der Beschwerdeführer begründete sein Einreise- und Asylgesuch mit Verweis auf die eingereichten Beweismittel damit, dass gegen ihn insgesamt 15 Strafverfahren eingeleitet worden seien, wovon acht Verfahren rechtskräftig abgeschlossen seien. Sechs davon hätten mit einem Freispruch geendet. Im siebten abgeschlossenen Verfahren sei er (...) we­gen Beschädigung öffentlichen Eigentums (...) zu einer bedingten Haftstrafe von zehn Monaten verurteilt worden. Das achte Verfahren habe (...) mit einer Verurteilung wegen Beleidigung von Polizeibeamten zu einer Freiheitsstrafe von einem Jahr, fünf Monaten und 15 Tagen geendet. Erstinstanzlich seien noch vier Verfahren hängig. Das erste betreffe den Vorwurf des Widerstandes gegen einen Staatsbeamten und Verletzung sowie Beleidigung eines Staatsbeamten. (...). Während eines 24-stündigen Polizeigewahrsams sei er verprügelt worden. (Von) August bis (...) September (...) sei er in ein F-Typ-Gefängnis gebracht und sehr schlecht behandelt worden. Das zweite Verfahren beschäftige sich mit den Vorwürfen der versuchten Propaganda und versuchten Unterstützung einer Terrororgani­sation. (...). Auch in diesem Verfahren sei er anlässlich der er­kennungsdienstlichen Behandlung misshandelt worden. Das dritte Verfahren betreffe die Vorwürfe der Propaganda für eine Terrororganisation, die Verherrlichung einer Straftat und eines Straftäters, im Rahmen von Aktionen einer Terrororganisation. (...). Das letzte Verfahren betreffe die Vorwürfe der Verübung von Straftaten im Namen einer Terror­organisation, ohne dieser als Mitglied anzugehören, des Verstosses gegen das Demonstrationsgesetz, des Widerstandes gegen Staatsbeamte und der Propaganda für eine Terrororganisation. (...). Während des Verfahrens sei er zwei Tage in Gewahrsam der Anti-Terrorabteilung in Z._______ gewesen und habe aufgrund von Misshandlungen einen Rippenbruch erlitten. Drei Verfahren seien in zweiter Instanz hängig. Im ersten dieser Verfahren sei er vor erster Instanz (...) wegen Widerstands gegen Staatsbeamte zu einer Bewährungsstrafe von fünf Monaten verurteilt wor­den. Zudem sei er wegen Beleidigung eines Staatsbeamten zu einer Haftstrafe von einem Jahr, zwei Monaten und 17 Tagen verurteilt worden. (...). Im Rahmen dieses Strafverfahrens sei er von der Polizei für 18 Stunden festgehalten und misshandelt worden. Im zweiten, beim Kassationshof hängigen Verfahren, sei er vor erster Instanz (...) wegen Verstosses gegen das Demonstrationsgesetz zu einer Haftstrafe von drei Jahren verurteilt worden. (...). Anlässlich des Verfahrens sei er für drei Tage von der Anti-Terroreinheit in Y._______ festgehalten und misshandelt worden. Danach sei er für 47 Tage in Untersuchungshaft genommen worden. Das dritte Verfahren habe (...) erstinstanzlich zu einem Schuldspruch und einer Verurteilung zu sieben Jahren und sechs Monaten Freiheitsentzug wegen Mitgliedschaft in einer terroristischen Vereinigung (DHKP-C) geführt. Im zweitägigen Gewahrsam bei der Anti-Terrorabteilung sei er wiederum gewaltsam angegriffen worden und habe schliesslich ein Jahr in einem F-Typ-Gefängnis verbracht. (...). Seit diesem letzten Urteil werde er mit Haftbefehl gesucht und habe sich seitdem bei Freunden versteckt. Überdies seien im Internet (...) Listen (...) veröffentlicht worden, in welchen er zu Unrecht als Bombenattentäter bezeichnet werde.</w:t>
      </w:r>
    </w:p>
    <w:p>
      <w:r>
        <w:rPr>
          <w:b/>
        </w:rPr>
        <w:t>E. 5.5</w:t>
      </w:r>
    </w:p>
    <w:p>
      <w:r>
        <w:t>Das BFM begründete seine Verfügung damit, dass eine Verfolgungsgefahr nicht ausgeschlossen werden könne. Allerdings habe der Beschwer­deführer einerseits die Möglichkeit, in einem anderen Land um Schutz zu ersuchen. So verfüge er in der Schweiz lediglich über einen Freund, während sein Onkel seit 20 Jahren in Deutschland lebe. Die beiden Länder seien hinsichtlich der Beziehungsnähe des Beschwerdeführers mithin vergleichbar. Die Möglichkeit einer Integration sei auch in Deutschland gegeben, und der Beschwerdeführer besitze gültige Reisedokumente, wodurch es ihm möglich sei, nach Deutschland zu reisen, um dort ein Asylgesuch zu stellen. Andererseits stehe aufgrund der Aktenlage fest, dass der Beschwerdeführer die DHKP-C und somit eine zu Mitteln der Gewalt greifende Organisation unterstütze, womit von einer legitimen Strafverfolgung des türkischen Staates auszugehen sei. In Anwendung von Art. 53 AsylG sei er als asylunwürdig zu bezeichnen. Einer vom Asyl ausgeschlossenen Person, die sich im Ausland befinde, sei die Einreise in die Schweiz nicht zu bewilligen.</w:t>
      </w:r>
    </w:p>
    <w:p>
      <w:r>
        <w:rPr>
          <w:b/>
        </w:rPr>
        <w:t>E. 5.6</w:t>
      </w:r>
    </w:p>
    <w:p>
      <w:r>
        <w:t>Diesen Erwägungen wurde in der Beschwerdeschrift entgegnet, dass es sich um unrechtmässige Strafverfahren handle, da der Beschwerdeführer lediglich seine verfassungsmässigen Rechte wahrgenommen habe. Der Sachverhalt, welcher zu einer Verurteilung als Mitglied einer terroristischen Vereinigung geführt habe, habe sich anders zugetragen, als von den türkischen Strafbehörden behauptet. (...). Man habe diesen Vorfall zum Anlass genommen, ihn für die Teilnahme an legalen Kundgebungen und Veranstaltungen zur Rechenschaft zu ziehen. (Man habe ihn) als Attentäter in den Printmedien gezeigt, obwohl er seit seiner Freilassung (...) an keinen Veranstaltungen mehr teilgenommen habe. Der türkische Staat wolle seinen Tod, und es würden ihm bereits neue Strafverfahren drohen. Entgegen den Ausführungen des BFM sei er kein Mitglied der DHKP-C. Vielmehr sei er gegen jegliche Formen der Gewalt und die Prozesse, die gegen ihn geführt worden seien, seien allesamt illegitim. Wäre er ein Mitglied der DHKP-C, so hätte er sich zwecks Hilfe an sie gewandt und hätte unmittelbar nach der Freilassung an Gewaltakten teilgenommen, was er aber nicht gemacht habe. 6.1 Es gilt vorab zu prüfen, ob der Beschwerdeführer in die Türkei einer Gefährdung im Sinne von Art. 3 AsylG ausgesetzt ist. Aus den Akten geht hervor, dass ihm angesichts mehrerer Strafverfahren eine lange Freiheits­strafe droht. So wurde er allein aufgrund des Vorwurfes der Zugehörigkeit zu einer terroristischen Vereinigung zu einer Freiheitsstrafe von 7½ Jahren verurteilt, und in Anbetracht der übrigen noch hängigen Verfahren ist von einer merklich höheren Gesamtstrafe auszugehen. 6.2 Eine strafrechtliche Verfolgung des Beschwerdeführers durch die türkischen Behörden ist aber nicht per se als Gefährdung im Sinne von Art. 3 AsylG zu werten, zumal die türkischen Behörden ein legitimes Interesse daran haben, strafrechtlich relevante Taten zu ahnden (vgl. zur Unterscheidung zwischen der legitimen strafrechtlichen und der flüchtlingsrechtlich relevanten Verfolgung: EMARK 1996 Nr. 29 E. 2g, EMARK 1996 Nr. 34 E. 3; BVGE D-6684/2011 vom 18. April 2013 E. 5 und Urteil des Bundesverwaltungsgerichts D-6592/2011 vom 21. Januar 2013 E. 7). 6.3 Im vorliegenden Fall ist indes davon auszugehen, dass der Beschwer­deführer von den türkischen Behörden als Terrorist betrachtet wird und deshalb mit intensiver behördlicher Verfolgung rechnen muss. Die jüngsten Berichte zur allgemeinen Situation in der Türkei zeigen, dass die Menschenrechtslage trotz Verbesserungen bei den Strafverfahren und in den Haftanstalten in der Praxis weiterhin problematisch ist. Namentlich echte oder mutmassliche Mitglieder von vom türkischen Staat als terroristisch eingestuften Organisationen sind gefährdet, von den Sicherheitskräften verfolgt und in deren Gewahrsam misshandelt oder gefoltert zu werden. Folter ist weiterhin stark verbreitet (vgl. BVGE 2011/10 E. 4.3 S. 127 f.). Im vorliegenden Fall liegen zudem konkrete Anhaltspunkte vor, die auf eine Misshandlungsgefahr hindeuten. So bringt der Beschwerdeführer glaubhaft vor, bereits mehrfach in Polizeigewahrsam tätlich angegriffen worden zu sein, was auch im durch einen Arzt verfassten Bericht der Stiftung für Menschenrechte (...) seine Entsprechung findet. Eine asylrelevante Gefährdung ist mithin zu bejahen. 6.4 In einem zweiten Schritt ist nun zu prüfen, ob es - gestützt auf eine Würdigung sämtlicher Umstände - gerade die Schweiz ist, welche dem Beschwerdeführer Schutz vor Verfolgung zu gewähren hat. Wie bereits einleitend erwähnt, ist der Vorinstanz bei der Beantwortung dieser Frage ein breiter Ermessensspielraum zuzubilligen. 6.5 Vorliegend erweist sich, dass das BFM das Asyl- und Einreisegesuch zu Recht abgelehnt hat. Der Beschwerdeführer verfügt, abgesehen von einem Freund, über keine besondere Beziehungsnähe zur Schweiz, während sich in Deutschland ein Onkel aufhält. Die Ablehnung eines Ausland­gesuchs lässt sich allerdings nicht ausschliesslich mit einer mangelnden Beziehungsnähe zur Schweiz begründen (vgl. EMARK 2005 Nr. 19 E. 4 S. 174 ff). In die Gesamtwürdigung miteinzubeziehen sind jedoch auch die Verbindungen des Beschwerdeführers zur DHKP-C. Nach den Erkenntnissen des Bundesverwaltungsgerichts ist die DHKP-C aus der Dev-Sol hervorgegangen. Bei Letzterer handelte es sich um eine illegale Organisation mit dem Ziel, das bestehende türkische Staatsgefüge durch bewaffnete Revolution zu zerschlagen und ein sozialistisches System ein­zurichten. Um ihre Ideologie dem Volk nahezubringen und neue Anhänger zu gewinnen, führte sie auch legale Aktivitäten durch und arbeitete in legalen und demokratischen Vereinen mit. Aufgrund interner Streitigkeiten spaltete sie sich im Jahre 1992 in zwei verfeindete Flügel, die THKP-C (Türkische Volksbefreiungspartei-Front; auch Yagan-Flügel genannt) und die 1994 entstandene DHKP-C. Letztere teilte sich wiederum in einen politischen (DHKP) und einen militärischen Flügel (DHKC), wobei sie weiter­hin die Ziele der ehemaligen Dev-Sol verfolgte (vgl. Schweizerische Flücht­lingshilfe, Türkei - Turquie, Informationen für HilfswerkvertreterInnen, April 1997, S. 124-129). Die DHKP-C hat sich massgeblich an den Hungerstreiks und Todesfasten in türkischen Gefängnissen ab Oktober 2000 beteiligt und als einzige Organisation noch bis Anfang 2007 daran festgehalten. Daneben führte sie aber auch Anschläge durch, die sich ge­gen Personen und Einrichtungen der türkischen Regierung und Sicherheitskräfte sowie gegen "Zeichen des Imperialismus" richteten. Beim Todesfasten sind an die hundert Mitglieder gestorben, wodurch die Organisation zunehmend geschwächt wurde. Darüber hinaus ist sie heute vom türkischen Geheimdienst unterlaufen, der ihre geplanten Aktionen zu verhindern weiss, so dass ihr in letzter Zeit keine spektakulären Operationen mehr gelungen sind. Dennoch geht von der DHKP-C weiterhin ein Gefährdungspotenzial aus, und sie steht nach wie vor auf der europäischen Liste der Terrororganisationen vom 20. Dezember 2007 des Rats der Europäischen Union (vgl. für weitere Hinweise das Urteil des Bundesverwaltungsgerichts D-3444/2006 vom 3. Juli 2009). Der Beschwerdeführer weist - selbst unter der Annahme, er sei kein eigentliches Mitglied - enge Verbindungen zur DHKP-C auf. Ob diese ausreichen, um den Beschwerdeführer nach Art. 53 AsylG als asylunwürdig zu erachten, kann offenbleiben, wobei am Rande darauf hinzuweisen ist, dass sich eine solche Annahme aufgrund der Mängel der türkischen Strafjustiz nicht ausschliesslich auf türkische Strafakten abzustützen hat. Im Ergebnis ging jedoch das BFM, gestützt auf die Nähe des Beschwerdeführers zur DHKP-C und verbunden mit der fehlenden Beziehungsnähe zur Schweiz, in sachgerechter Ausübung des Ermessens zu Recht davon aus, dass es nicht geboten erscheint, dass gerade die Schweiz dem Beschwerdeführer Schutz gewähren soll. 6.6 Somit hat das BFM zu Recht das Asyl- und Einreisegesuch des Beschwerdeführers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