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D-2918/2009 vom 29. November 2011</w:t>
      </w:r>
    </w:p>
    <w:p>
      <w:r>
        <w:t>Bundesverwaltungsgericht, 2011-11-29, DE</w:t>
      </w:r>
    </w:p>
    <w:p>
      <w:r>
        <w:rPr>
          <w:b/>
        </w:rPr>
        <w:t xml:space="preserve">Quelle: </w:t>
      </w:r>
      <w:r>
        <w:t>https://mcp.opencaselaw.ch/entscheid/bvger_D-2918_2009</w:t>
      </w:r>
    </w:p>
    <w:p>
      <w:r>
        <w:t>FR: TAF D-2918/2009 du 29 novembre 2011</w:t>
      </w:r>
    </w:p>
    <w:p>
      <w:r>
        <w:t>IT: TAF D-2918/2009 del 29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Asylgesetz nichts anderes bestimmt (Art. 37 VGG und Art. 6 AsylG).</w:t>
      </w:r>
    </w:p>
    <w:p>
      <w:r>
        <w:rPr>
          <w:b/>
        </w:rPr>
        <w:t>E. 1.3</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formgerecht eingereichte Beschwerde ist somit einzutreten (Art. 105 und Art. 108 Abs. 1 AsylG, Art. 48 Abs. 1 so­wie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(vgl.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Beschwerdeführerin begründete ihr Asylgesuch im Wesentlichen damit, nach der gerichtlichen Zusprechung des Sorgerechts für ihre beiden Kinder im März 2006 seien diese und sie selbst seitens Angehöriger der verfeindeten Familie ihres verstorbenen Ehemannes auf verschiedene Art und Weise behelligt worden: So hätten diese anlässlich der Ausübung des Besuchsrechts ihren Kindern gegenüber schlecht über sie (die Beschwerdeführerin) gesprochen und die Kinder zu einer Rückkehr in ihren Familienverband zu überreden versucht. Ausserdem hätten einzelne Angehörige der besagten Familie ihre Kinder auch in der Schule aufgesucht und zu beeinflussen versucht. Schliesslich sei sie eineinhalb Monate sowie eine Woche vor ihrer Ausreise aus Kosovo von I._______, einem Bruder ihres verstorbenen Ehemannes mit dem Tode bedroht worden, falls sie ihre beiden Kinder nicht an dessen Familie herausgebe.</w:t>
      </w:r>
    </w:p>
    <w:p>
      <w:r>
        <w:rPr>
          <w:b/>
        </w:rPr>
        <w:t>E. 4.2</w:t>
      </w:r>
    </w:p>
    <w:p>
      <w:r>
        <w:t>Einleitend bleibt festzuhalten, dass die kosovarischen Gerichte - wie im Übrigen auch durch die vorliegend getätigten Botschaftsabklärungen bestätigt worden ist - der Beschwerdeführerin am 21. März 2006 nach jahrelangen juristischen Auseinandersetzungen das Sorgerecht für ihre beiden Kinder zugesprochen haben, worauf diese in ihre Obhut zurückkehrten. Bis zur Ausreise aus Kosovo Mitte März 2008 lebten die Kinder gemeinsam mit der Beschwerdeführerin, deren Mutter, Bruder und Schwägerin sowie Cousins und Cousinen im Elternhaus in D._______. Die vorstehend erwähnten Behelligungen der Beschwerdeführenden seitens der Familie des verstorbenen Ehemannes beruhen somit im Ergebnis auf der Tatsache, dass verschiedene Mitglieder besagter Familie das gerichtliche Verdikt nicht akzeptiert beziehungsweise durch allerlei Machenschaften versucht haben, das Sorgerecht für die beiden Kinder faktisch zurückzugewinnen. Die Zuerkennung der Flüchtlingseigenschaft setzt indessen voraus, dass die Zufügung von ernsthaften Nachteilen aus einem der in Art. 3 Abs. 1 genannten Gründe (Rasse, Religion, Nationalität, Zugehörigkeit zu einer bestimmten sozialen Gruppe oder politische Anschauung) erfolgen muss. Ein derartiges Verfolgungsmotiv (vgl. hierzu beispielsweise Walter Kälin, Grundriss des Asylverfahrens, Basel/Frankfurt a. M. 1990, S. 86 ff.; Alberto Achermann/Christina Hausammann, Handbuch des Asylrechts, 2. Aufl., Bern/Stuttgart 1991, S. 95 ff.; Walter Stöckli, Asyl, in: Uebersax/Rudin/Hugi/Yar/Geiser [Hrsg.], Ausländerrecht, 2. Aufl., Basel 2009, Rz. 11.10 - 11.12) ist aus den vorliegenden Akten nicht ersichtlich, gründen doch die psychischen Druckversuche der Familie des verstorbenen Ehemannes gegenüber den beiden Kindern der Beschwerdeführerin ebenso wie die von der Beschwerdeführerin geltend gemachten zwei Todesdrohungen seitens ihres Schwagers I._______ letztlich auf einer zivilrechtlichen Streitigkeit zwischen Angehörigen zweier Familien. So besehen, handelt es sich bei den von der Beschwerdeführerin geschilderten Übergriffen um gemeinrechtliche Straftaten, welche keine Verfolgung im asylrechtlichen Sinne darzustellen vermögen. Darüber hinaus weist bereits die Tatsache, dass die kosovarischen Gerichte der Beschwerdeführerin nach zähem Ringen das Sorgerecht für ihre beiden Kinder zugesprochen haben und diese in der Folge auch faktisch in die Obhut ihrer Mutter zurückgekehrt sind, darauf hin, dass die kosovarischen Behörden im Verbund mit den nach wie vor präsenten internationalen Sicherheitskräften grundsätzlich fähig und willens sind, ihre Bürger zu schützen beziehungsweise dem Recht Nachachtung zu verschaffen. An dieser Feststellung vermag der Umstand, dass es gerade bei familienrechtlichen Streitigkeiten generell sowohl für Sicherheitskräfte als auch für Gerichte - gleichsam systemimmanent - schwierig ist, verfeindete Parteien zur Einhaltung eines Gerichtsbeschlusses beziehungsweise vertraglicher Vereinbarungen zu zwingen, nichts zu ändern. Vor dem Hintergrund des Gesagten muss auch die Schlussfolgerung in der Beschwerdeschrift zurückgewiesen werden, die Beschwerdeführenden müssten als Flüchtlinge anerkannt werden, weil es in Kosovo trotz Fortschritten in der Rechtsstaatlichkeit immer noch unmöglich sein dürfte, eine alleinstehende Mutter mit zwei kleinen Kindern vor den Übergriffen eines ganzen Familienclans zu schützen (vgl. Beschwerde S. 9/10). Abgesehen davon erweist sich die Behauptung, die Beschwerdeführerin sei alleinstehend, als tatsachenwidrig, lebte sie doch vor ihrer Ausreise aus der Heimat mit ihren beiden Kindern nicht etwa allein, sondern im Hause ihrer Mutter gemeinsam mit dieser, ihrem Bruder, ihrer Schwägerin und mehreren Neffen beziehungsweise Nichten, wohin sie auch heute ohne Weiteres zurückkehren kann (vgl. E. 6.5.3. und 6.5.4. nachstehend). Schliesslich bleibt darauf hinzuweisen, dass die Beschwerdeführerin nach eigenen Angaben keinen Versuch unternommen hat, die beiden angeblichen Todesdrohungen polizeilich zur Anzeige zu bringen (vgl. act. A9/18 S. 11 F72), weshalb sie sich diesbezüglich nicht auf die fehlende Schutzfähigkeit beziehungsweise -bereitschaft der kosovarischen Sicherheitskräfte berufen könnte. Der Einwand der Beschwerdeführerin, sie habe sich dazu nicht getraut (vgl. act. A9/18 S. 11 F72), vermag das Gericht nicht zu überzeugen, hat sie doch durch ihren beherzten Kampf um das Sorgerecht für ihre Kinder in einer gesellschaftlich schwierigen Zeit als unverheiratete Frau bereits an früherer Stelle ihre Entschlossenheit bewiesen.</w:t>
      </w:r>
    </w:p>
    <w:p>
      <w:r>
        <w:rPr>
          <w:b/>
        </w:rPr>
        <w:t>E. 4.3</w:t>
      </w:r>
    </w:p>
    <w:p>
      <w:r>
        <w:t>Zusammenfassend ist festzuhalten, dass es den Beschwerdefüh­renden nicht gelungen ist, eine asylrechtlich erhebliche Verfol­gungsgefahr nachzu­weisen oder zumindest glaubhaft zu machen. Es erüb­rigt sich daher, auf weitere Vorbringen in der Beschwerde einzuge­hen, da sie am Ergebnis nichts ändern können. Das Bundesamt hat die Asylgesuche daher zu Recht und mit zutreffender Begründung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und ihre beiden Kinder verfügen weder über eine ausländerrechtliche Auf­enthaltsbewilligung noch über einen Anspruch auf Erteilung einer sol­chen. Die Wegweisung wurde demnach zu Recht angeordnet (Art. 44 Abs. 1 AsylG; vgl. BVGE 2009/50 E. 9 S. 733 mit weiteren Hinweisen;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a.a.O. Rz. 11.148).</w:t>
      </w:r>
    </w:p>
    <w:p>
      <w:r>
        <w:rPr>
          <w:b/>
        </w:rPr>
        <w:t>E. 6.2</w:t>
      </w:r>
    </w:p>
    <w:p>
      <w:r>
        <w:t>Der Vollzug ist nicht zulässig, wenn völkerrechtliche Verpflichtungen der Schweiz einer Weiterreise der Ausländerin oder des Ausländers in den Heimat-, Herkunfts- oder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6.2.3</w:t>
      </w:r>
    </w:p>
    <w:p>
      <w:r>
        <w:t>Sodann ergeben sich weder aus den Aussagen der Beschwerdeführerin noch aus den Akten Anhaltspunkte dafür, dass sie und ihre beiden Kinder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 die Beschwerdeführerin eine konkrete Gefahr ("real risk") nachwei­sen oder glaubhaft machen, dass ihr und ihren beiden Kindern im Fall einer Rückschiebung Folter oder unmenschliche Behandlung drohen würde (vgl. EGMR [Grosse Kam­mer], Saadi gegen Italien, Urteil vom 28. Februar 2008, Beschwerde Nr. 37201/06, §§ 124 - 127, mit weiteren Hinweisen). Davon ist unter Hinweis auf die vorstehenden Erwägungen zum Asylpunkt nicht auszugehen. Auch die allge­meine Menschenrechtssituation in Kosovo lässt den Wegweisungsvoll­zug zum heutigen Zeitpunkt nicht als unzuläs­sig erschei­nen.</w:t>
      </w:r>
    </w:p>
    <w:p>
      <w:r>
        <w:rPr>
          <w:b/>
        </w:rPr>
        <w:t>E. 6.2.4</w:t>
      </w:r>
    </w:p>
    <w:p>
      <w:r>
        <w:t>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In Kosovo besteht keine Situation allgemeiner Gewalt, die sich über das ganze Staatsgebiet oder weite Teile desselben erstrecken würde. Der Vollzug der Wegweisung der albanischstämmigen Beschwerdeführenden nach Kosovo ist deshalb grundsätzlich zumutbar.</w:t>
      </w:r>
    </w:p>
    <w:p>
      <w:r>
        <w:rPr>
          <w:b/>
        </w:rPr>
        <w:t>E. 6.3.3</w:t>
      </w:r>
    </w:p>
    <w:p>
      <w:r>
        <w:t>Es bestehen zudem auch keine individuellen Gründe wirtschaftlicher, sozialer oder gesundheitlicher Natur, die darauf hinwiesen, dass die Beschwerdeführerin und ihre beiden Kinder in Kosovo in eine existenzbedrohende Situation geraten könnten. So lebte die Beschwerdeführerin seit dem Tode ihres Ehemannes im Juli 1999 im Hause ihrer Mutter, wo auch ihre beiden Kinder wohnten, nachdem die kosovarischen Gerichte der Beschwerdeführerin im März 2006 definitiv das Sorgerecht für die beiden Knaben zugesprochen hatten. Aus den Akten ist ersichtlich, dass die Beschwerdeführerin nach dem Tode ihres Ehemannes einen Schneiderkurs absolvierte und in der Folge zuhause kleinere Schneiderarbeiten ausführte, welche ihr einen kleinen Nebenverdienst einbrachten (vgl. act. A9/18 S. 4 F23 und 27). Überdies ist den Akten zu entnehmen, dass drei Brüder der Beschwerdeführerin in der Schweiz und ein weiterer Bruder in Frankreich leben (vgl. act. A1/9 S. 3 Ziff. 12), welche Geschwister die Beschwerdeführerin und ihre Kinder laut dem Botschaftsbericht vom 21. Februar 2009 beziehungsweise dessen zusammenfassender Darstellung durch das BFM vom 12. März 2009 (vgl. act. A13/ 3 S. 2) finanziell unterstützt haben. Darüber hinaus bezog die Beschwerdeführerin in Kosovo eine Sozialhilfe in Höhe von 55 Euro monatlich und wurde letztlich auch durch ihre Mutter unterstützt, welche eine Rente bezieht (vgl. act. A9/18 S. 4 F27). Weiter ist der vorerwähnten Zusammenfassung des Botschaftsberichts zu entnehmen, dass die Beschwerdeführerin nach wie vor enge Kontakte zu ihrer in Kosovo wohnhaften Familie unterhält. All diese Feststellungen lassen die Schlussfolgerung zu, dass die Beschwerdeführerin und ihre beiden Kinder bei einer Rückkehr in ihre Heimat nicht in eine existenzbedrohende Notlage kommen würden, da sie wieder Wohnsitz im Hause der Mutter beziehungsweise Grossmutter in D._______ nehmen könnten.</w:t>
      </w:r>
    </w:p>
    <w:p>
      <w:r>
        <w:rPr>
          <w:b/>
        </w:rPr>
        <w:t>E. 6.3.4</w:t>
      </w:r>
    </w:p>
    <w:p>
      <w:r>
        <w:t>Schliesslich ist bei der Beurteilung der Zumutbarkeit des Wegweisungsvollzugs der Aspekt des Kindeswohls zu berücksichtigen. Dies ergibt sich nicht zuletzt aus einer völkerrechtskonformen Auslegung von Art. 83 Abs. 4 AuG im Lichte von Art. 3 Abs. 1 der Konvention vom 20. November 1989 über die Rechte des Kindes (KRK,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beziehungsweise 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eine Entwurzelung im Heimatstaat zur Folge haben kann, welche unter Umständen die Rückkehr dorthin als unzumutbar erscheinen lässt (vgl. BVGE 2009/28 E. 9.3.2 S. 367 f.; EMARK 2005 Nr. 6 E. 6. S. 55 ff.).Diese Voraussetzungen sind im vorliegenden Fall nicht gegeben. Den zusammen mit der Beschwerdeschrift eingereichten Stellungnahmen diverser die beiden Kinder der Beschwerdeführerin unterrichtender Lehrerinnen und Lehrer ist zwar zu entnehmen, dass die beiden Knaben in der Schweiz bereits im September 2008 in die dritte beziehungsweise vierte Primarschulklasse eingeschult worden sind, grossen Lernwillen zeigen, schulisch rasche Fortschritte machen und in ihren Klassen beliebt sind. Ungeachtet dessen stellt ihr erst dreieinhalbjähriger Aufenthalt in der Schweiz einen eindeutig zu kurzen Zeitrahmen auf, um unter integrationsrechtlichen Gesichtspunkten eine vorläufige Aufnahme wegen Unzumutbarkeit des Wegweisungsvollzugs zu rechtfertigen. Mithin kann - im Lichte der Praxis des Bundesverwaltungsgerichts besehen - in casu nicht auf eine aussergewöhnliche Verwurzelung sowohl der Kinder als auch ihrer Mutter in der Schweiz geschlossen werden (vgl. etwa Urteil D-3754/2006 vom 10. Juni 2009). Darüber hinaus legen die raschen schulischen Fortschritte der beiden Kinder in der Schweiz und ihre rasche Anpassung an die hiesigen Lebensverhältnisse die Annahme nahe, dass sie auch die Fähigkeit besitzen werden, sich in ihrer früheren Heimat schnell wieder einzugewöhnen und auch in schulischer Hinsicht den Anschluss an ihre kosovarischen Altersgenossen zu finden. Hinzu kommt, dass die Beschwerdeführerin und ihre beiden Kinder in Kosovo wieder bei ihrer Mutter beziehungsweise Grossmutter im Verbund mit weiteren engen Verwandten wohnen können und dort folglich soziale Bande vorfinden, welche ihnen bei der Reintegration in ihrer Heimat und bei der Verarbeitung allfälliger belastender Erinnerungen im Zusammenhang mit den früheren Streitigkeiten um das Sorgerecht von Nutzen sein dürften.</w:t>
      </w:r>
    </w:p>
    <w:p>
      <w:r>
        <w:rPr>
          <w:b/>
        </w:rPr>
        <w:t>E. 6.3.5</w:t>
      </w:r>
    </w:p>
    <w:p>
      <w:r>
        <w:t>Der Vollzug der Wegweisung erweist sich somit insgesamt nicht als unzumutbar.</w:t>
      </w:r>
    </w:p>
    <w:p>
      <w:r>
        <w:rPr>
          <w:b/>
        </w:rPr>
        <w:t>E. 6.4</w:t>
      </w:r>
    </w:p>
    <w:p>
      <w:r>
        <w:t>Schliesslich obliegt es den Beschwerdeführenden,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6.5</w:t>
      </w:r>
    </w:p>
    <w:p>
      <w:r>
        <w:t>Zusammenfassend ergibt sich, dass die Vorinstanz den Wegweisungs­vollzug zu Recht als zulässig, zumutbar und möglich erach­tet hat. Die Anordnung der vorläufigen Aufnahme fällt mithin nicht in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wären die Verfahrenskosten grundsätzlich den Be­schwerdeführenden aufzuerlegen (Art. 63 Abs. 1 und 5 VwVG). Da sich die Beschwerde vom 5. Mai 2009 indessen als nicht aussichtslos erweist und nach wie vor von der Bedürftigkeit der Beschwerdeführenden auszugehen ist, ist das Gesuch um Gewährung der unentgeltlichen Rechtspflege im Sinne von Art. 65 Abs. 1 VwVG gutzuheissen und von der Erhebung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