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D-2916/2013 vom 19. November 2013</w:t>
      </w:r>
    </w:p>
    <w:p>
      <w:r>
        <w:t>Bundesverwaltungsgericht, 2013-11-19, DE</w:t>
      </w:r>
    </w:p>
    <w:p>
      <w:r>
        <w:rPr>
          <w:b/>
        </w:rPr>
        <w:t xml:space="preserve">Quelle: </w:t>
      </w:r>
      <w:r>
        <w:t>https://mcp.opencaselaw.ch/entscheid/bvger_D-2916_2013</w:t>
      </w:r>
    </w:p>
    <w:p>
      <w:r>
        <w:t>FR: TAF D-2916/2013 du 19 novembre 2013</w:t>
      </w:r>
    </w:p>
    <w:p>
      <w:r>
        <w:t>IT: TAF D-2916/2013 del 19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Mithin ist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2010/57 E. 2.2 und 2.3 sowie Entscheidungen und Mitteilungen der Schweizerischen Asylrekurskommission [EMARK] 2005 Nr. 21 E. 6.1 S. 190 f.). 5.1 In der Beschwerde wird an der Glaubhaftigkeit und der asylrechtlichen Relevanz der bisherigen Vorbringen festgehalten. Insbesondere habe das BFM nicht bestritten, dass es sich beim Beschwerdeführer um einen Polizisten aus G.______________ handle. Zudem wird ausgeführt, der Beschwerdeführer habe, um sich selbst und seine Familie zu schützen, seine Ehefrau und seine Kinder nach Kabul gebracht, wo er sie vorübergehend bei M._______ habe unterbringen können, und anschliessend die Ausreise angetreten. Kurze Zeit nach der Anhörung vom (...) 2009 sei seine Ehefrau mit den Kindern zu seinen Eltern nach G.______________ zurückgekehrt, da M._______ nicht mehr in der Lage gewesen sei, seine Familienangehörigen zu versorgen. Am (...) 2010 sei sein ebenfalls als Polizist bei der ANP tätig gewesene Bruder L._______ von Mitgliedern einer regierungsfeindlichen Gruppierung in G.______________ bei der Arbeit ermordet worden. Am (...) 2013 habe N._______, ein weiterer in G.______________ wohnhafter Bruder, bei einem Kommandanten der Behörde in G.______________ eine Aussage über die Ermordung von L._______ gemacht. Ausserdem sei die Familie in ständiger Gefahr wegen der früheren Einsätze des Beschwerdeführers gegen (...). In dem zu den Akten gereichten Schreiben bestätige der Kommandant die Aussage von N._______, wonach L._______ von Mitgliedern der (...), welche auch den Beschwerdeführer bedroht hätten, umgebracht worden sei. Der Beschwerdeführer habe seinem Kommandanten die erhaltenen Drohungen mitgeteilt. Dieser habe angesichts der damaligen Situation in Afghanistan - die Sicherheitskräfte seien bereits mit der Bekämpfung der (...)_______ überfordert gewesen - nicht helfen können oder wollen (...). 5.2 Eine Überprüfung der Akten ergibt, dass das BFM die Glaubhaftigkeit der Vorbringen des Beschwerdeführers mit zutreffender Begründung verneint hat (vgl. Sachverhalt Bst. B und H.a). Daran vermögen weder die Ausführungen in der Beschwerde noch die eingereichten Dokumente etwas zu ändern. So wurde die vom Beschwerdeführer geltend gemachte Tätigkeit als Polizist von der Vorinstanz in der Tat nicht in Abrede gestellt. Indes wurde in der angefochtenen Verfügung im Einzelnen dargelegt, weshalb die geltend gemachten Verfolgungsvorbringen den Anforderungen an die Glaubhaftigkeit nicht zu genügen vermögen. Demgegenüber wird in dieser Hinsicht in der Rechtsmitteleingabe einzig eingewendet, es sei zwar möglich, dass es sich um eine stereotyp wirkende Version handle, wenn ausgeführt werde, dass Polizisten in Gebieten wie I._______ gegen (...) vorgehen und daraufhin von den betroffenen Gruppierungen bedroht oder verfolgt würden; wesentlich sei doch aber, dass die Polizei allgemein als regierungsfreundlich zähle und deshalb immer eine Zielscheibe der regierungsfeindlichen Gruppierungen, insbesondere der (...), welche von der Polizei bekämpft werde, sei (...). Dieser eher pauschal wirkende Einwand des Beschwerdeführers erweist sich indes gegenüber den in den Erwägungen der angefochtenen Verfügung detailliert aufgezeigten Unglaubhaftigkeitselementen der Verfolgungsvorbringen als nicht stichhaltig genug. 5.3 Aus den nachgereichten Übersetzungen der beiden undatierten, gemäss Angaben in der Beschwerde vom (...) 2013 datierenden Dokumente geht hervor, dass es sich dabei je um ein Schreiben des Bruders N._______ des Beschwerdeführers an das Polizeikommando des Bezirks O._______ und den Gouverneur der Provinz G.______________ handelt. Darin ersucht er die adressierten Stellen, den folgenden von ihm dargelegten - im nachstehenden Abschnitt zusammengefassten - Sachverhalt zu bestätigen: 'Der Beschwerdeführer sei für das Innenministerium bei (...) tätig gewesen und wegen Drohungen der bewaffneten Opposition beziehungsweise der (...) in die Schweiz geflüchtet. Am (...) 2010 sei sein ebenfalls für das Polizeikommando der Provinz G.______________ beziehungsweise das Sicherheitsministerium tätige Bruder L._______ von der (...) getötet worden. Die ganze Familie werde in der Provinz G.______________ von der (...) unterdrückt und bedroht beziehungsweise habe deswegen nach Kabul umziehen müssen. N._______ sei für den Unterhalt der Familie verantwortlich. Da sich der Beschwerdeführer in der Schweiz aufhalte und dort noch nicht eingebürgert sei, könne er nicht nach Afghanistan zurückkehren, um ihnen zu helfen.' Die beiden adressierten Stellen bestätigen (...) sodann, dass der Beschwerdeführer und L._______ für das Innenministerium tätig gewesen seien, wobei der Erstere von der (...) unterdrückt und erpresst, während der Letztere von der bewaffneten Opposition beziehungsweise der (...) umgebracht worden sei (vgl. Übersetzungen). Doch auch der Inhalt der beiden besagten Schreiben vermag an den von der Vorinstanz aufgezeigten Unglaubhaftigkeitselementen der vom Beschwerdeführer geltend gemachten Verfolgungsvorbringen nichts zu ändern, zumal sie aufgrund der Aktenlage durchaus als Gefälligkeitsschreiben ohne Beweiswert qualifiziert werden können, und zum anderen die adressierten Stellen lediglich das unbestrittene Vorbringen bestätigen, wonach der Beschwerdeführer als Polizist bei der (...) tätig gewesen und in diesem Zusammenhang von der (...) behelligt worden sei. Sodann vermag das neue Vorbringen, wonach der Bruder L._______ weniger als (...) nach der Ausreise des Beschwerdeführers getötet worden sein soll, die dargelegten Unglaubhaftigkeitselemente ebenfalls nicht in ausschlaggebender Weise zu relativieren, zumal kein Zusammenhang mit dessen individuellen Sachverhaltsvorbringen besteht. Abgesehen davon wird im Schreiben an den Gouverneur der Provinz G.______________ ausgeführt, dass die Familie des Beschwerdeführers wegen der dortigen Behelligungen durch die (...) nach der am (...) 2010 erfolgten Tötung von L._______ nach Kabul habe umziehen müssen: Dies steht jedoch in Widerspruch sowohl zu dessen Aussage anlässlich der Anhörung vom (...) 2009, wonach er seine Familie erst am Tag der Ausreise ([...] 2009) in die afghanische Hauptstadt gebracht habe (...), als auch zu den Ausführungen in der Beschwerde, wonach die Familie bereits wenige Monate nach der Ausreise wegen mangelnden Unterhalts nach G.______________ habe zurückkehren müssen (...). 5.4 Nach dem Gesagten erweisen sich die vom Beschwerdeführer geltend gemachten Verfolgungsvorbringen als nicht glaubhaft, weshalb eine Prüfung auf deren asylrechtliche Relevanz hin unterbleiben kann. Aufgrund der vorstehenden Erwägungen erübrigt es sich, auf die weiteren Ausführungen in der Beschwerde, die übrigen Eingaben und die Beweismittel, namentlich auf die unter Bezugnahme auf das Urteil des Bundesverwaltungsgerichts (...) sinngemäss aufgeworfene Frage einer internen Schutzalternative in Kabul, näher einzugehen, weil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EMARK 2006 Nr. 6 E. 4.2 S. 54 f.).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7.2</w:t>
      </w:r>
    </w:p>
    <w:p>
      <w:r>
        <w:t>Weil sich vorliegend der Vollzug der Wegweisung - aus den nachfolgend aufgeführten Gründen - als unzumutbar erweist, ist dementsprechend auf eine Erörterung der beiden anderen Kriterien zu verzichten.</w:t>
      </w:r>
    </w:p>
    <w:p>
      <w:r>
        <w:rPr>
          <w:b/>
        </w:rPr>
        <w:t>E. 8.1</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w:t>
      </w:r>
    </w:p>
    <w:p>
      <w:r>
        <w:t>In Bezug auf die allgemeine Lage in Afghanistan kann auf die vom Bundesverwaltungsgericht vorgenommene Einschätzung der Lage im Grundsatzurteil BVGE 2011/7 vom 16. Juni 2011 verwiesen werden.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a.a.O. E. 9.9.1 f.). In der Folge wurde die Frage der Zumutbarkeit des Wegweisungsvollzugs in Bezug auf die Städte Herat und Mazar-i-Sharif vom Bundesverwaltungsgericht in ähnlicher Weise beantwortet (vgl. BVGE 2011/38 und BVGE 2011/49).</w:t>
      </w:r>
    </w:p>
    <w:p>
      <w:r>
        <w:rPr>
          <w:b/>
        </w:rPr>
        <w:t>E. 8.3</w:t>
      </w:r>
    </w:p>
    <w:p>
      <w:r>
        <w:t>Der Beschwerdeführer stammt eigenen Angaben zufolge aus dem Dorf O.______________ in der Provinz G.______________ und hat in Kabul eine vierjährige Polizeiausbildung absolviert. Den Akten kann weiter entnommen werden, dass er nach Abschluss der Polizeiausbildung im Jahr 2007 bis zur Ausreise am (...) 2009 als Polizist in Kabul stationiert war, wobei er Einsätze im ganzen Land absolvierte. Seine Ehefrau und seine (...) Kinder brachte er am Tag seiner Ausreise aus Afghanistan aus Sicherheitsgründen von G.______________ zu M._______ in Kabul (...). Gestützt auf diese Aktenlage ist davon auszugehen, dass sich das Domizil des Beschwerdeführers und seiner Familie stets in G.______________ befand, während er sich lediglich zu Ausbildungszwecken (vier Jahre) und aus beruflichen Gründen (zirka zwei Jahre) in Kabul aufhielt. Zwar brachte er seine engsten Familienangehörigen am Tag seiner Ausreise zu M._______ nach Kabul und ergeben sich aus den Akten Unstimmigkeiten in Bezug auf deren Aufenthaltsort nach seiner Ausreise. So sollen sie sich gemäss den Ausführungen in der Beschwerde bereits wenige Monate nach der Ausreise des Beschwerdeführers zur Rückkehr zu dessen Eltern nach G.______________ gezwungen gesehen haben, nachdem M._______ in Kabul nicht mehr in der Lage gewesen sei, für den Lebensunterhalt der Verwandten aufzukommen; anderseits soll die Familie gemäss dem einen Schreiben des Bruders N._______ vom (...) 2013 erst nach dem (...) 2010 von G.______________ nach Kabul umgezogen sein, wobei N._______ für den Lebensunterhalt der Familie aufzukommen hatte. Doch unbenommen davon ist auch dem zweiten, vom (...) 2013 datierenden, von N._______ in G.______________ verfassten Schreiben zu entnehmen, dass sich die Familie zwischenzeitlich offensichtlich wieder in G.______________ aufhält. Mithin ist zugunsten des Beschwerdeführers davon auszugehen, dass sich seine Familie mit überwiegender Wahrscheinlichkeit in der Provinz G.______________ aufhält und dort auch ihren momentanen Lebensmittelpunkt hat. Aus den Akten ergeben sich schliesslich keine Hinweise darauf, dass sich weitere Angehörige oder Freunde des Beschwerdeführers in Kabul (oder einer der beiden anderen erwähnten afghanischen Grossstädte) aufhalten würden. Unter diesen Umständen kann gestützt auf die Akten zum heutigen, massgebenden Zeitpunkt nicht (mehr) von einem genügend tragfähigen Beziehungsnetz ausgegangen werden, welches dem Beschwerdeführer aufgrund der aktuell schwierigen Verhältnisse bei der Reintegration in Kabul behilflich sein könnte. Mit Blick auf die vorstehend dargelegte Situation im Heimatland (vgl. E. 8.2) ist der Wegweisungsvollzug des Beschwerdeführers nach Kabul somit ohne eingehende weitere Prüfung als nicht zumutbar zu qualifizieren. Da der Beschwerdeführer überdies gemäss den Akten in den Grossstädten Herat und Mazar-i-Sharif über keine weiteren Verwandte verfügt, kommt von vornherein auch keine Aufenthaltsalternative in diesen afghanischen Städten in Frage.</w:t>
      </w:r>
    </w:p>
    <w:p>
      <w:r>
        <w:rPr>
          <w:b/>
        </w:rPr>
        <w:t>E. 8.4</w:t>
      </w:r>
    </w:p>
    <w:p>
      <w:r>
        <w:t>Insgesamt erweist sich der Vollzug der Wegweisung nach Afghanistan im Sinne von Art. 83 Abs. 4 AuG als unzumutbar. Nachdem sich aus den Akten keine Ausschlussgründe im Sinne von Art. 83 Abs. 7 AuG ergeben, sind die Voraussetzungen für die Anordnung der vorläufigen Aufnahme somit erfüllt.</w:t>
      </w:r>
    </w:p>
    <w:p>
      <w:r>
        <w:rPr>
          <w:b/>
        </w:rPr>
        <w:t>E. 9</w:t>
      </w:r>
    </w:p>
    <w:p>
      <w:r>
        <w:t>Nach dem Gesagten ist die Beschwerde gutzuheissen, soweit beantragt wird, es sei die Unzumutbarkeit des Wegweisungsvollzugs festzustellen; im Übrigen ist sie abzuweisen. Die Ziffern 4 und 5 des Dispositivs der vor­instanzlichen Verfügung vom 23. April 2013 sind demnach aufzuheben und das BFM ist anzuweisen, den Aufenthalt des Beschwerdeführers nach den gesetzlichen Bestimmungen über die vorläufige Aufnahme zu regeln (Art. 44 Abs. 2 AsylG und Art. 83 Abs. 4 AuG).</w:t>
      </w:r>
    </w:p>
    <w:p>
      <w:r>
        <w:rPr>
          <w:b/>
        </w:rPr>
        <w:t>E. 10.1</w:t>
      </w:r>
    </w:p>
    <w:p>
      <w:r>
        <w:t>Bei diesem Verfahrensausgang sind dem Beschwerdeführer nach dem Grad des Durchdringens praxisgemäss die um die Hälfte zu ermässigenden Verfahrenskosten in der Höhe von Fr. 300.- aufzuerlegen (Art. 63 Abs. 1 und 5 VwVG; Art. 1-3 des Reglements vom 21. Februar 2008 über die Kosten und Entschädigungen vor dem Bundesverwaltungsgericht [VGKE, SR 173.320.2]) und mit dem am 31. Mai 2013 geleisteten Kostenvorschuss von Fr. 600.- zu verrechnen. Der Restbetrag von Fr. 300.- ist zurückzuerstatten. Da das Gesuch um Erlass beziehungsweise Reduktion des Kostenvorschusses (vgl. Sachverhalt Bst. E) erst nach dessen Leistung gestellt wurde, ist dieses gegenstandslos geworden, weshalb darüber nicht mehr zu befinden ist.</w:t>
      </w:r>
    </w:p>
    <w:p>
      <w:r>
        <w:rPr>
          <w:b/>
        </w:rPr>
        <w:t>E. 10.2</w:t>
      </w:r>
    </w:p>
    <w:p>
      <w:r>
        <w:t>Dem teilweise obsiegenden und vertretenen Beschwerdeführer ist sodann in Anwendung von Art. 64 VwVG und Art. 7 Abs. 1 VGKE eine praxisgemäss um die Hälfte reduzierte Entschädigung für die ihm notwendigerweise erwachsenen Parteikosten zuzusprechen. In der eingereichten Kostennote vom 23. Mai 2013 wird ein Arbeitsaufwand von total 9.00 Stunden à Fr. (...).- (vereinbarter Stundenansatz) ausgewiesen, der unter Berücksichtigung von Umfang und Schwierigkeit des vorliegenden Verfahrens angemessen erscheint. Für die weiteren, kleinen Aufwendungen bis zum Ergehen des Urteils ist pauschal ein Arbeitsaufwand von einer Stunde zu veranschlagen. Daraus ergibt sich ein Honorar von insgesamt Fr. (...).-. Demnach ist die vom BFM zu entrichtende, um die Hälfte zu reduzierende Parteientschädigung von Amtes wegen auf Fr. (...).- (inkl. nicht ausgewiesene Auslagen und allfällige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