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D-2914/2024 vom 8. April 2024</w:t>
      </w:r>
    </w:p>
    <w:p>
      <w:r>
        <w:t>Bundesverwaltungsgericht, 2024-04-08, DE</w:t>
      </w:r>
    </w:p>
    <w:p>
      <w:r>
        <w:rPr>
          <w:b/>
        </w:rPr>
        <w:t xml:space="preserve">Quelle: </w:t>
      </w:r>
      <w:r>
        <w:t>https://mcp.opencaselaw.ch/entscheid/bvger_D-2914_2024_d20240408</w:t>
      </w:r>
    </w:p>
    <w:p>
      <w:r>
        <w:t>FR: TAF D-2914/2024 du 8 avril 2024</w:t>
      </w:r>
    </w:p>
    <w:p>
      <w:r>
        <w:t>IT: TAF D-2914/2024 del 8 aprile 2024</w:t>
      </w:r>
    </w:p>
    <w:p>
      <w:pPr>
        <w:pStyle w:val="Heading2"/>
      </w:pPr>
      <w:r>
        <w:t>Regeste</w:t>
      </w:r>
    </w:p>
    <w:p>
      <w:r>
        <w:t>Asyl und Wegweisung | Asyl und Wegweisung; Verfügung des SEM vom 8. April 2024</w:t>
      </w:r>
    </w:p>
    <w:p>
      <w:pPr>
        <w:pStyle w:val="Heading2"/>
      </w:pPr>
      <w:r>
        <w:t>Erwägungen</w:t>
      </w:r>
    </w:p>
    <w:p>
      <w:r>
        <w:rPr>
          <w:b/>
        </w:rPr>
        <w:t>E. 1.1</w:t>
      </w:r>
    </w:p>
    <w:p>
      <w:r>
        <w:t>In der Zwischenverfügung vom 15. Mai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w:t>
      </w:r>
    </w:p>
    <w:p>
      <w:r>
        <w:t>D-2914/2024 Seite 6 Zeitpunkt der Ausreise – mit beachtlicher Wahrscheinlichkeit und in abseh- barer Zeit verwirklicht oder werde sich – aus heutiger Sicht – mit ebensol- 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in der angefochtenen Verfügung zur Begründung seines Entscheides im Wesentlichen aus, es könne nicht ausgeschlossen werden, dass es tatsächlich zu der geltend gemachten Kontrolle des Beschwerde- führers durch die Polizei gekommen sei, weil er an einer Newroz-Feierlich- keit eine Flagge der HDP getragen habe. Dass dies das Interesse der tür- kischen Polizei an seiner Person geweckt habe und zu einer einmaligen Kontrolle geführt habe, genüge indes nicht, um begründete Furcht vor einer zukünftigen flüchtlingsrechtlich relevanten Verfolgung anzunehmen. Aus seinen Aussagen gehe hervor, dass er nicht in exponierter Stellung für die HDP tätig, sondern nur ein einfacher Sympathisant ohne Parteimitglied- schaft gewesen sei. Es bestehe deshalb keine beachtliche Wahrscheinlich- keit, dass sich seine Befürchtungen, er werde wegen seiner Teilnahme an einer Newroz-Feierlichkeit und wegen des Tragens einer HDP-Flagge strafrechtlich verfolgt und inhaftiert, verwirklichen werden. Aktuell sei die HDP formell legal tätig. Ähnlich wie bei den früheren Verboten der Vorgän- gerparteien DEHAP und HADEP hätten namentlich Sympathisanten wie er, lediglich wegen ihrer legalen, sehr niederschwelligen politischen Betäti- gung für die HDP nicht mit einer strafrechtlichen Verfolgung oder mit sons- tigen ernsthaften Nachteilen zu rechnen. Aufgrund dieser Überlegungen könnten die von ihm geäusserten Befürchtungen nicht als flüchtlingsrecht- lich relevant qualifiziert werden. Der vom Beschwerdeführer erwähnte Zwi- schenfall mit der Polizei habe zudem am (…) stattgefunden. Er sei danach noch fünf Monate in der Türkei geblieben und er sei in dieser Zeit gemäss eigenen Angaben mit keinem weiteren Vorfall konfrontiert gewesen. Dies weise ebenfalls darauf hin, dass die türkischen Behörden kein unmittelba- res Interesse daran hatten, ihn aufgrund der Teilnahme an der Newroz- Feierlichkeit strafrechtlich zu verfolgen. Zudem sei festzuhalten, dass in</w:t>
      </w:r>
    </w:p>
    <w:p>
      <w:r>
        <w:t>D-2914/2024 Seite 7 seinem Leben weder Ermittlungs- noch Strafverfahren gegen ihn bestan- den hätten und er auch nie in Gewahrsam genommen oder verhaftet wor- den sei. Die Gerüchte, dass Personen, welche an der gleichen Newroz- Feierlichkeit teilgenommen hätten, verhaftet worden seien, habe er nicht mit substantiierten Angaben untermauern können. Es sei ihm auch prob- lemlos möglich gewesen, mit seinem eigenen Reisepass legal über den Flughafen Istanbul auszureisen, was auch auf das Fehlen einer gezielten und intensiven staatlichen Verfolgung durch die türkischen Behörden schliessen lasse. Es würden somit keine Hinweise darauf bestehen, dass seine zweimalige Teilnahme an HDP-Märschen bis zum Jahr 2019 und seine Teilnahme an der Newroz-Feierlichkeit im März 2022 zu einem nach- haltigen Interesse der türkischen Behörden respektive zu Ermittlungsver- fahren gegen ihn geführt hätten. Der Beschwerdeführer habe erklärt, sein jüngerer Bruder E._______ sei auf eine Landmine getreten, dabei schwer an seinen Augen und an seinem Schädel verletzt worden, er müsse nun mit einer (…) leben und könne nur mit Hilfe einer (…). Weiter seien zwei Freunde von ihm verwundet worden, wobei G._______ am Fuss verletzt und F._______ an seinen Verletzungen gestorben sei. Er habe ständig Bomben- und Waffengeräusche wahrgenommen und aufgrund des dama- ligen Ausnahmezustandes habe er das Elternhaus nicht verlassen dürfen. Im Oktober 2019 seien durch eine I._______ abgeschossene Mörsergra- nate (…) getötet worden. Das SEM sei sich bewusst, dass diese Erlebnisse schlimme Erfahrungen für den Beschwerdeführer gewesen sein müssten und die in seiner Herkunftsregion zeitweise stattfindenden Kampfhandlun- gen generell einen negativen Einfluss auf die psychische Verfassung der ansässigen Bevölkerung hätten und deren Lebensfreiheit einschränkten. Er beziehe sich mit diesen Vorbringen jedoch auf Ereignisse, die sich zwi- schen drei bis neun Jahre vor seiner Ausreise zugetragen hätten und bei denen er persönlich keine körperlichen Nachteile erlitten habe. Das Asyl diene jedoch nicht dazu, im Rahmen von Krieg oder Situationen allgemei- ner Gewalt erlittene Nachteile beziehungsweise erlittenes Unrecht wieder- gutzumachen. Eine flüchtlingsrechtliche Relevanz könne von diesen ver- gangenen Ereignissen daher nicht abgeleitet werden – insbesondere, da es sich bei diesen um tragische Unfälle beziehungsweise ungezielte Nach- teile handle, von welchen alle Einwohner von C._______ in gleichem Masse betroffen sein könnten. Der Beschwerdeführer habe im Rahmen der Anhörung erklärt, dass er in seinem Leben immer mit Bomben-, Explosio- nen-, Waffengeräusche und Tod hätte leben müssen. In der Schweiz lebe er ohne Sorge und Angst, dass eine Bombe explodieren oder ihn jemand angreifen könnte. Diese Vorbringen würden sich auf hypothetisch mögliche Nachteile beziehen, die sich aus lokal oder regional beschränkten</w:t>
      </w:r>
    </w:p>
    <w:p>
      <w:r>
        <w:t>D-2914/2024 Seite 8 Kampfhandlungen ableiten. Da er sich diesen zeitweise aufkeimenden Kampfhandlungen durch einen Wegzug in einen anderen Teil seines Hei- matlandes entziehen könne, sei er nicht auf den Schutz der Schweiz an- gewiesen. Es handle sich dabei auch nicht um Nachteile, die gezielt gegen ihn als Person gerichtet seien, und die aus einem der in Art. 3 AsyIG ge- nannten Gründe erfolgen würden, weshalb diese keine flüchtlingsrechtli- che Relevanz entfalten würden. Seine Vorbringen würden den Anforderun- gen an die Flüchtlingseigenschaft gemäss Art. 3 AsyIG nicht standhalten, sodass deren Glaubhaftigkeit nicht geprüft werden müsse. Demzufolge er- fülle er die Flüchtlingseigenschaft nicht, so dass sein Asylgesuch abzu- lehnen sei.</w:t>
      </w:r>
    </w:p>
    <w:p>
      <w:r>
        <w:rPr>
          <w:b/>
        </w:rPr>
        <w:t>E. 4.2</w:t>
      </w:r>
    </w:p>
    <w:p>
      <w:r>
        <w:t>In der Zwischenverfügung vom 15. Mai 2024 wurde festgehalten, eine summarische Prüfung der Akten ergebe, dass diese Erwägungen des SEM überzeugend erscheinen, in Einklang mit der Praxis des Bundesverwal- tungsgerichts stehen und mithin kaum zu beanstanden sein dürften. Diese Einschätzung ist auch nach einer erneuten Prüfung der Akten zu bestäti- gen. Der Beschwerdeführer wiederholt in seiner Eingabe vom 8. Mai 2024 seine bereits im Rahmen der Anhörung zu den Asylgründen vom 13. März 2024 geltend gemachten Vorbringen und hält an deren flüchtlingsrechtli- chen Relevanz fest, in dem er geltend macht, er sei Flüchtling, es drohe ihm bei einer Rückkehr unmenschliche Behandlung. Die Schweizerischen Behörden wüssten, wie die türkische Regierung mit Kurden umgehe, falls er festnehmen würde. Sie hätten ja Fotos von ihm von der Newroz-Feier und er sei sich sicher, dass sie auch Fotos von ihm bei den anderen Mär- schen hätten. Auch seine psychischen Probleme würden sich bei einer Rückkehr nur verschlechtern, es drohe ihm Retraumatisierung. Der Ort, von dem er herkomme, sei nicht sicher. Er sei (…) und es gebe die ganze Zeit Krieg, Bomben und Auseinandersetzungen. Mit diesen Einwänden wird indessen nichts vorgebracht, was zu einer von der zutreffenden Ein- schätzung des SEM abweichenden Beurteilung führen könnte. Es kann da- her vollumgänglich auf die Erwägungen des SEM in der angefochtenen Verfügung beziehungsweise auf die Zusammenfassung derselben in der vorstehenden Erwägung 4.1 verwiesen werden.</w:t>
      </w:r>
    </w:p>
    <w:p>
      <w:r>
        <w:rPr>
          <w:b/>
        </w:rPr>
        <w:t>E. 4.3</w:t>
      </w:r>
    </w:p>
    <w:p>
      <w:r>
        <w:t>Zusammenfassend ergibt sich, dass das SEM zu Recht die Flüchtlings- eigenschaft des Beschwerdeführers verneint und das Asylgesuch abge- lehnt hat.</w:t>
      </w:r>
    </w:p>
    <w:p>
      <w:r>
        <w:rPr>
          <w:b/>
        </w:rPr>
        <w:t>E. 5</w:t>
      </w:r>
    </w:p>
    <w:p>
      <w:r>
        <w:t>Das SEM führt in der angefochtenen Verfügung, auf welche vorab</w:t>
      </w:r>
    </w:p>
    <w:p>
      <w:r>
        <w:t>D-2914/2024 Seite 9 vollumfänglich verwiesen werden kann, ausführlich und zutreffend aus, weshalb die Wegweisung zu verfügen und weshalb der Wegweisungsvoll- zug vorliegend zulässig, zumutbar und möglich sei (vgl. angefochtene Ver- fügung, Ziff. III). In der Beschwerde wird nichts vorgebracht, was zu einer von derjenigen des SEM abweichenden Beurteilung führen könnte. Hin- sichtlich der vom Beschwerdeführer in der Beschwerde erneut angespro- chenen psychischen Probleme ist festzuhalten, dass das türkische Ge- sundheitssystem grundsätzlich westeuropäische Standards aufweist und über eine hinreichende medizinische und psychiatrisch-psychologische Versorgung verfügt. Es ist somit davon auszugehen, dass die psychischen Probleme des Beschwerdeführers in der Türkei adäquat behandelt werden können (vgl. etwa Urteil des BVGer E-158/2024 vom 4. April 2024 E. 9.4.2). Eine Anordnung der vorläufigen Aufnahme fällt nach dem Gesag- ten ausser Betracht (Art. 83 Abs. 1–4 AIG [SR 142.20]).</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Verfahrens sind die Kosten desselben von Fr. 750.– (Art. 1–3 des Reglements vom 21. Februar 2008 über die Kosten und Entschädigungen vor dem Bundesverwaltungsgericht [VGKE, SR 173.320.2]) dem Beschwerdeführer aufzuerlegen (Art. 63 Abs. 1 VwVG). Der am 23. Mai 2024 eingezahlte Kostenvorschuss von Fr. 750.– ist zur Bezahlung der Verfahrenskosten zu verwenden. (Dispositiv nächste Seite)</w:t>
      </w:r>
    </w:p>
    <w:p>
      <w:r>
        <w:t>D-2914/2024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