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D-2910/2013 vom 18. März 2014</w:t>
      </w:r>
    </w:p>
    <w:p>
      <w:r>
        <w:t>Bundesverwaltungsgericht, 2014-03-18, DE</w:t>
      </w:r>
    </w:p>
    <w:p>
      <w:r>
        <w:rPr>
          <w:b/>
        </w:rPr>
        <w:t xml:space="preserve">Quelle: </w:t>
      </w:r>
      <w:r>
        <w:t>https://mcp.opencaselaw.ch/entscheid/bvger_D-2910_2013</w:t>
      </w:r>
    </w:p>
    <w:p>
      <w:r>
        <w:t>FR: TAF D-2910/2013 du 18 mars 2014</w:t>
      </w:r>
    </w:p>
    <w:p>
      <w:r>
        <w:t>IT: TAF D-2910/2013 del 18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 Der Untersuchungsgrundsatz hat zur Folge, dass das BFM zur richtigen und vollständigen Ermittlung und Feststellung des rechtserheblichen Sachverhalts verpflichtet ist und auch nach allen Elementen zu forschen hat, die zugunsten der asylsuchenden Person sprechen. 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5.1</w:t>
      </w:r>
    </w:p>
    <w:p>
      <w:r>
        <w:t>Der angefochtene Entscheid des BFM wird den genannten Kriterien nicht in der erforderlichen Weise gerecht. Das BFM hat sich im angefochtenen Entscheid darauf beschränkt, die Aussagen des Beschwerdeführers zu den Ereignissen in B._______ als unglaubhaft zu erachten. Spezifische Erwägungen zum Beweiswert des iranischen Gerichtsurteils vom (...) 2009 fehlen jedoch vollständig. Es leuchtet zwar ein, dass sich bei einem Dokument, welches (auch) als Beleg für einen gemäss Sichtweise des BFM unglaubhaften Sachverhalt eingereicht wurde, Fragen zur Authentizität und zum Beweiswert stellen. Die erforderliche diesbezügliche Auseinandersetzung kann der Entscheidbegründung der Vorinstanz aber nicht entnommen werden. Auch im Rahmen des Schriftenwechsels ging sie nicht darauf ein.</w:t>
      </w:r>
    </w:p>
    <w:p>
      <w:r>
        <w:rPr>
          <w:b/>
        </w:rPr>
        <w:t>E. 5.2</w:t>
      </w:r>
    </w:p>
    <w:p>
      <w:r>
        <w:t>Im Weiteren hat der Beschwerdeführer geltend gemacht, sich in Griechenland exilpolitisch betätigt zu haben und dabei durch iranische Agenten identifiziert worden zu sein. In der Folge sei ein Angriff auf ihn und seine Kollegen erfolgt. Dabei sei er verletzt worden. Zu dieser im Rahmen der Feststellung der Flüchtlingseigenschaft offensichtlich relevanten Frage äusserst sich die angefochtene Verfügung in keiner Weise, und zwar weder im Sachverhalt noch in den Erwägungen. Auch die beigebrachten Beweismittel (Mitgliederausweis "iranian political asylum" und memory-stick [Film aus Griechenland]) finden keine Erwähnung. Auf diese mangelhafte Sachverhaltsfeststellung ist das BFM - trotz entsprechender Rüge in der Beschwerde - in der Vernehmlassung wiederum nicht eingegangen.</w:t>
      </w:r>
    </w:p>
    <w:p>
      <w:r>
        <w:rPr>
          <w:b/>
        </w:rPr>
        <w:t>E. 6.1</w:t>
      </w:r>
    </w:p>
    <w:p>
      <w:r>
        <w:t>Zusammenfassend ergibt sich, dass der angefochtene Entscheid un­ter Missachtung wesentlicher Gehörsansprüche des Beschwerdeführers zu­stande gekommen ist.</w:t>
      </w:r>
    </w:p>
    <w:p>
      <w:r>
        <w:rPr>
          <w:b/>
        </w:rPr>
        <w:t>E. 6.2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nicht in Betracht, ist das BFM im Rahmen des Schriftenwechsels doch in keiner Weise auf die relevanten und zutreffenden Beschwerderügen eingegangen.</w:t>
      </w:r>
    </w:p>
    <w:p>
      <w:r>
        <w:rPr>
          <w:b/>
        </w:rPr>
        <w:t>E. 7</w:t>
      </w:r>
    </w:p>
    <w:p>
      <w:r>
        <w:t>Die angefochtene Verfügung ist deshalb aufzuheben und die Sache im Sinne der Erwägungen und in Gutheissung des sich aus den Rügen ergebenden Kassationsantrags an die Vorinstanz zurückzuwei­sen. Das BFM ist gehalten, ge­stützt auf den vollständig festgestellten rechtserheblichen Sachverhalt einen neuen Ent­scheid mit rechtsgenüglicher Begründung zu fällen.</w:t>
      </w:r>
    </w:p>
    <w:p>
      <w:r>
        <w:rPr>
          <w:b/>
        </w:rPr>
        <w:t>E. 8.1</w:t>
      </w:r>
    </w:p>
    <w:p>
      <w:r>
        <w:t>Bei diesem Ausgang des Verfahrens sind keine Verfahrenskosten aufzuerlegen (Art. 63 Abs. 1 VwVG i.V.m. Art. 37 VGG).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Rechtsvertreterin hat für dieses Verfahren keine Kostennote zu den Akten gereicht. Auf die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900.- (inkl. Allfällige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