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D-2906/2014 vom 5. Juni 2014</w:t>
      </w:r>
    </w:p>
    <w:p>
      <w:r>
        <w:t>Bundesverwaltungsgericht, 2014-06-05, DE</w:t>
      </w:r>
    </w:p>
    <w:p>
      <w:r>
        <w:rPr>
          <w:b/>
        </w:rPr>
        <w:t xml:space="preserve">Quelle: </w:t>
      </w:r>
      <w:r>
        <w:t>https://mcp.opencaselaw.ch/entscheid/bvger_D-2906_2014</w:t>
      </w:r>
    </w:p>
    <w:p>
      <w:r>
        <w:t>FR: TAF D-2906/2014 du 5 juin 2014</w:t>
      </w:r>
    </w:p>
    <w:p>
      <w:r>
        <w:t>IT: TAF D-2906/2014 del 5 giugno 2014</w:t>
      </w:r>
    </w:p>
    <w:p>
      <w:pPr>
        <w:pStyle w:val="Heading2"/>
      </w:pPr>
      <w:r>
        <w:t>Regeste</w:t>
      </w:r>
    </w:p>
    <w:p>
      <w:r>
        <w:t>Nichteintreten auf Asylgesuch (erneutes Asylverfahren Schweiz)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entscheidet auf dem Gebiet des Asyls endgültig, ausser - was in casu nicht vorliegt - bei Personen, gegen die ein Auslieferungsersuchen des Staates vorliegt, vor welchem sie Schutz ersuchen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 im Rahmen der nachfolgenden Erwägungen - einzutreten.</w:t>
      </w:r>
    </w:p>
    <w:p>
      <w:r>
        <w:rPr>
          <w:b/>
        </w:rPr>
        <w:t>E. 1.3</w:t>
      </w:r>
    </w:p>
    <w:p>
      <w:r>
        <w:t>Die Schweizerische Bundesversammlung hat am 14. Dezember 2012 eine Revision des Asylgesetzes vom 26. Juni 1998 verabschiedet (AS 2013 4375), welche am 1. Februar 2014 in Kraft getreten ist. Dabei wurde unter anderem Art. 111c AsylG neu eingefügt, der Mehrfachgesuche regelt. Abs. 2 der diesbezüglichen Übergangsbestimmung hält fest, dass für die im Zeitpunkt des Inkrafttretens der Änderung vom 14. Dezember 2012 - mithin am 1. Februar 2014 - hängigen Verfahren betreffend Mehrfachgesuche bisheriges Recht in der Fassung des AsylG vom 1. Januar 2008 gilt. Das dritte Asylgesuch des Beschwerdeführers datiert vom 22. November 2011. Vorliegend sind somit die Bestimmungen des AsylG in der Fassung vom 1. Januar 2008 anwendbar. Der neue Art. 111c AsylG findet keine Anwendung.</w:t>
      </w:r>
    </w:p>
    <w:p>
      <w:r>
        <w:rPr>
          <w:b/>
        </w:rPr>
        <w:t>E. 2</w:t>
      </w:r>
    </w:p>
    <w:p>
      <w:r>
        <w:t>Mit Beschwerde kann die Verletzung von Bundesrecht, die unrichtige oder unvollständige Feststellung des Sachverhalts und allenfalls die Unangemessenheit gerügt werden (alt Art. 106 Abs. 1 AsylG i.V.m. mit Abs. 2 der Übergangsbestimmung zur Änderung des AsylG vom 14. De-zember 2012, wonach bei am 1. Februar 2014 hängigen Verfahren betreffend Mehrfachgesuche bisheriges Recht in der Fassung des AsylG vom 1. Januar 2008 gilt).</w:t>
      </w:r>
    </w:p>
    <w:p>
      <w:r>
        <w:rPr>
          <w:b/>
        </w:rPr>
        <w:t>E. 3</w:t>
      </w:r>
    </w:p>
    <w:p>
      <w:r>
        <w:t>Über offensichtlich unbegründete Beschwerden wird in einzelrichterlicher Zuständigkeit mit Zustimmung eines zweiten Richters oder einer zweiten Richterin entschieden (Art. 111 Bst. e AsylG). Wie nachfolgend aufgezeigt, handelt es sich vorliegend um eine solche, weshalb der Beschwerdeentscheid nur summarisch zu begründen ist (Art. 111a Abs. 2 AsylG). Gestützt auf Art. 111a Abs. 1 AsylG wurde auf einen Schriftenwechsel verzichtet.</w:t>
      </w:r>
    </w:p>
    <w:p>
      <w:r>
        <w:rPr>
          <w:b/>
        </w:rPr>
        <w:t>E. 4</w:t>
      </w:r>
    </w:p>
    <w:p>
      <w:r>
        <w:t>Bei der Beurteilung von Beschwerden gegen Nichteintretensentscheide des BFM hat die Beschwerdeinstanz hinsichtlich des Nichteintretenstatbestands einzig zu beurteilen, ob die Vorinstanz zu Recht auf das Asylgesuch nicht eingetreten ist. Im Falle der Begründetheit des Rechtsmittels in diesem Punkt ist die angefochtene Verfügung aufzuheben und die Sache zur neuen Entscheidung an die Vorinstanz zurückzuweisen (vgl. BVGE 2011/30 E. 3 S. 568, BVGE 2011/9 E. 5 S. 116). Auf die Beschwerdeanträge um Feststellung der Flüchtlingseigenschaft und um Gewährung des Asyls ist daher nicht einzutreten. Nicht beschränkt ist die Beurteilungszuständigkeit des Bundesverwaltungsgerichts dagegen hinsichtlich der Frage der Wegweisung und deren Vollzugs, da das BFM diesbezüglich eine materielle Prüfung und Entscheidung vorzunehmen hat.</w:t>
      </w:r>
    </w:p>
    <w:p>
      <w:r>
        <w:rPr>
          <w:b/>
        </w:rPr>
        <w:t>E. 5</w:t>
      </w:r>
    </w:p>
    <w:p>
      <w:r>
        <w:t>Gemäss alt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5.1</w:t>
      </w:r>
    </w:p>
    <w:p>
      <w:r>
        <w:t>Der Beschwerdeführer hat in der Schweiz bereits ein Asylverfahren erfolglos durchlaufen. Das formelle Erfordernis des Nichteintretensgrunds von alt Art. 32 Abs. 2 Bst. e AsylG ist damit erfüllt.</w:t>
      </w:r>
    </w:p>
    <w:p>
      <w:r>
        <w:rPr>
          <w:b/>
        </w:rPr>
        <w:t>E. 5.2</w:t>
      </w:r>
    </w:p>
    <w:p>
      <w:r>
        <w:t>Es bleibt damit zu prüfen, ob Hinweise vorliegen, wonach seit Abschluss des ersten Asylverfahrens - mithin seit der unangefochten in Rechtskraft erwachsenen Verfügung des BFM vom 13. Februar 1996 - bedeutsame Ereignisse eingetreten sind, die geeignet sind, die Flüchtlingseigenschaft des Beschwerdeführers zu begründen, oder die für die Gewährung des vorübergehenden Schutzes relevant sind. Dies ist in Übereinstimmung mit dem BFM zu verneinen und es kann auf die zutreffenden Ausführungen in der angefochtenen Verfügung verwiesen werden. Der Rechtsmitteleingabe, welche sich auf eine Wiederholung der bisherigen Vorbringen beschränkt, sind keine stichhaltigen Entgegnungen zu entnehmen, die die Argumentation des BFM in Zweifel zu ziehen vermöchten. Im rechtskräftig abgeschlossenen ersten Asylverfahren wurde festgestellt, dass der Beschwerdeführer die Flüchtlingseigenschaft nicht erfüllt. Hinweise, dass seither Ereignisse eingetreten seien, die geeignet wären, die Flüchtlingseigenschaft nunmehr zu begründen, liegen nicht vor. Der Beschwerdeführer beruft sich im dritten Asylverfahren auf die gleichen Asylgründe, die er im ersten Asylverfahren vorbrachte und die mit Verfügung des BFM vom 13. Februar 1996 bereits materiell behandelt und als nicht glaubhaft erachtet wurden. An dieser Beurteilung vermag das neuerliche Geltendmachen nichts zu ändern. Andere Asylgründe, die sich nach Abschluss des ersten Asylverfahrens ereignet hätten, brachte der Beschwerdeführer nicht vor. Hinsichtlich der erneut geltend gemachten Furcht vor einer Bestrafung wegen Wehrdienstverweigerung ist darauf hinzuweisen, dass Personen, die wegen Wehrdienstverweigerung ernsthaften Nachteilen ausgesetzt sind oder begründete Furcht haben, solchen Nachteilen ausgesetzt zu werden, die Flüchtlingseigenschaft - unter Vorbehalt des Abkommens vom 28. Juli 1951 über die Rechtsstellung der Flüchtlinge (FK, SR 0.142.30) - nicht erfüllen (Art. 3 Abs. 3 AsylG). Eine allfällige Strafe wegen Refraktion stellt grundsätzlich keine Verfolgung im Sinne von Art. 3 AsylG dar. Es gehört zu den legitimen Rechten eines Staates, seine Bürger zum Militärdienst einzuberufen und zur Durchsetzung der Wehrpflicht strafrechtliche oder disziplinarische Sanktionen zu verhängen (vgl. Entscheidungen und Mitteilungen der Schweizerischen Asylrekurskommission [EMARK] 2004 Nr. 2 E. 6b.aa [S. 16]). Als flüchtlingsrechtlich relevant gilt eine Bestrafung dann, wenn der Wehrpflichtige aus einem Grund nach Art. 3 AsylG mit einer höheren Strafe zu rechnen hat (sog. Politmalus). Wehrpflichtige Männer werden in der Türkei aufgrund der Staatsangehörigkeit und ihres Jahrgangs für das Militär aufgeboten, ohne dass dieser Verpflichtung eine asylrechtlich relevante Verfolgungsabsicht des Staates zugrunde liegen würde. Eine allfällige Bestrafung des Beschwerdeführers wegen Wehrdienstverweigerung wäre mithin als asylrechtlich nicht relevant zu qualifizieren. Kurdische Refraktäre haben ihrer Ethnie wegen nicht generell strengere Strafen im Sinne eines "Malus" zu befürchten.</w:t>
      </w:r>
    </w:p>
    <w:p>
      <w:r>
        <w:rPr>
          <w:b/>
        </w:rPr>
        <w:t>E. 5.3</w:t>
      </w:r>
    </w:p>
    <w:p>
      <w:r>
        <w:t>Das BFM ist damit zu Recht in Anwendung von alt Art. 32 Abs. 2 Bst. e AsylG auf das dritte Asylgesuch des Beschwerdeführers vom 22. November 2011 nicht eingetreten.</w:t>
      </w:r>
    </w:p>
    <w:p>
      <w:r>
        <w:rPr>
          <w:b/>
        </w:rPr>
        <w:t>E. 6</w:t>
      </w:r>
    </w:p>
    <w:p>
      <w:r>
        <w:t>Lehnt das Bundesamt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daher zu Recht angeordnet (vgl. BVGE 2009/50 E. 9 [S. 733], 2008/34 E. 9.2 [S. 510]).</w:t>
      </w:r>
    </w:p>
    <w:p>
      <w:r>
        <w:rPr>
          <w:b/>
        </w:rPr>
        <w:t>E. 7</w:t>
      </w:r>
    </w:p>
    <w:p>
      <w:r>
        <w:t>Ist der Vollzug der Wegweisung nicht zulässig, nicht zumutbar oder nicht möglich, so regelt das Bundesamt das Anwesenheitsverhältnis nach den gesetzlichen Bestimmungen über die vorläufige Aufnahme von Ausländern (Art. 44 AsylG; Art. 83 Abs. 1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Vorliegend ist der Vollzug der Wegweisung in Beachtung der massgeblichen völker- und landesrechtlichen Bestimmungen zulässig, da keine Hinweise für die Begründung der Flüchtlingseigenschaft des Beschwerdeführers vorliegen. Anhaltspunkte für eine menschenrechtswidrige Behandlung im Sinne von Art. 25 Abs. 3 BV (SR 101), von Art. 3 des Übereinkommens vom 10. Dezember 1984 gegen Folter und andere grausame, unmenschliche oder erniedrigende Behandlung oder Strafe (FoK, SR 0.105) und der Praxis zu Art. 3 EMRK (SR 0.101), die im Heimatstaat droht, sind keine ersichtlich, selbst wenn der Beschwerdeführer wegen Refraktion mit einer Bestrafung rechnen müsste. Auch die allgemeine Menschenrechtslage in der Türkei lässt den Wegweisungsvollzug nicht als unzulässig erscheinen.</w:t>
      </w:r>
    </w:p>
    <w:p>
      <w:r>
        <w:rPr>
          <w:b/>
        </w:rPr>
        <w:t>E. 7.2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2009/41 E. 7.1 [S. 576 f.]; Botschaft zum Bundesgesetz über die Ausländerinnen und Ausländer vom 8. März 2002, BBl 2002 3818). Weder die allgemeine Lage in der Türkei noch individuelle Gründe wirtschaftlicher, sozialer oder gesundheitlicher Natur sprechen gegen die Zumutbarkeit des Vollzugs der Wegweisung des Beschwerdeführers. Er verfügt in der Türkei über Familienangehörige, mit denen er in Kontakt steht, und damit über ein soziales Beziehungsnetz (vgl. C55 S. 3 f.). Zudem weist er Arbeitserfahrung als (...) und Fremdsprachenkenntnisse (...) auf (vgl. C8 S. 4, C41 S. 4). Dies dürfte ihm beim Wiedereinstieg ins Erwerbsleben dienlich sein. Damit ist nicht davon auszugehen, der Beschwerdeführer würde bei einer Rückkehr in die Türkei in eine seine Existenz vernichtende Situation geraten, die als konkrete Gefährdung im Sinne der zu beachtenden Bestimmungen zu werten wäre (Art. 83 Abs. 4 AuG).</w:t>
      </w:r>
    </w:p>
    <w:p>
      <w:r>
        <w:rPr>
          <w:b/>
        </w:rPr>
        <w:t>E. 7.3</w:t>
      </w:r>
    </w:p>
    <w:p>
      <w:r>
        <w:t>Der Vollzug der Wegweisung des Beschwerdeführers in die Türkei ist schliesslich auch als möglich zu bezeichnen, da keine Vollzugshindernisse bestehen (Art. 83 Abs. 2 AuG), und es ihm obliegt, bei der notwendigen Beschaffung von Reisepapieren mitzuwirken (Art. 8 Abs. 4 AsylG; vgl. dazu auch BVGE 2008/34 E. 12 [S. 513 - 515]). Hinsichtlich der Möglichkeiten der Wiedererlangung der türkischen Staatsbürgerschaft ist auf die entsprechenden Ausführungen in der angefochtenen Verfügung vom 16. Mai 2014 zu verweisen.</w:t>
      </w:r>
    </w:p>
    <w:p>
      <w:r>
        <w:rPr>
          <w:b/>
        </w:rPr>
        <w:t>E. 7.4</w:t>
      </w:r>
    </w:p>
    <w:p>
      <w:r>
        <w:t>Der durch die Vorinstanz verfügte Wegweisungsvollzug ist damit zu bestätigen und eine Anordnung der vorläufigen Aufnahme des Beschwerdeführers fällt ausser Betracht (Art. 83 Abs. 1-4 AuG).</w:t>
      </w:r>
    </w:p>
    <w:p>
      <w:r>
        <w:rPr>
          <w:b/>
        </w:rPr>
        <w:t>E. 8</w:t>
      </w:r>
    </w:p>
    <w:p>
      <w:r>
        <w:t>Dem Beschwerdeführer ist es damit nicht gelungen darzutun, inwiefern die angefochtene Verfügung Bundesrecht verletzt, den rechtserheblichen Sachverhalt unrichtig oder unvollständig feststellt oder unangemessen ist (alt Art. 106 Abs. 1 AsylG). Die Beschwerde ist daher als offensichtlich unbegründet abzuweisen, soweit darauf einzutreten ist.</w:t>
      </w:r>
    </w:p>
    <w:p>
      <w:r>
        <w:rPr>
          <w:b/>
        </w:rPr>
        <w:t>E. 9.1</w:t>
      </w:r>
    </w:p>
    <w:p>
      <w:r>
        <w:t>Mit vorliegendem Urteil ist das Beschwerdeverfahren abgeschlossen, weshalb sich der Antrag um Verzicht auf die Erhebung eines Kostenvorschusses als gegenstandslos erweist. Das mit diesem Antrag sinngemäss gestellte Gesuch um Gewährung der unentgeltlichen Prozessführung gemäss Art. 65 Abs. 1 VwVG ist abzuweisen, da die Begehren - wie sich aus den vorstehenden Ausführungen ergibt - als aussichtslos zu bezeichnen waren, weshalb die Voraussetzungen von Art. 65 Abs. 1 VwVG nicht erfüllt sind.</w:t>
      </w:r>
    </w:p>
    <w:p>
      <w:r>
        <w:rPr>
          <w:b/>
        </w:rPr>
        <w:t>E. 9.2</w:t>
      </w:r>
    </w:p>
    <w:p>
      <w:r>
        <w:t>Bei diesem Ausgang des Verfahrens sind dessen Kosten von Fr. 600.- (Art. 1-3 des Reglements vom 21. Februar 2008 über die Kosten und Entschädigungen vor dem Bundesverwaltungsgericht [VGKE, SR 173.320.2]) dem Beschwerdeführer aufzuerlegen (Art. 63 Abs. 1 und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