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D-2905/2025 vom 19. Juni 2025</w:t>
      </w:r>
    </w:p>
    <w:p>
      <w:r>
        <w:t>Bundesverwaltungsgericht, 2025-06-19, FR</w:t>
      </w:r>
    </w:p>
    <w:p>
      <w:r>
        <w:rPr>
          <w:b/>
        </w:rPr>
        <w:t xml:space="preserve">Quelle: </w:t>
      </w:r>
      <w:r>
        <w:t>https://mcp.opencaselaw.ch/entscheid/bvger_D-2905_2025</w:t>
      </w:r>
    </w:p>
    <w:p>
      <w:r>
        <w:t>FR: TAF D-2905/2025 du 19 juin 2025</w:t>
      </w:r>
    </w:p>
    <w:p>
      <w:r>
        <w:t>IT: TAF D-2905/2025 del 19 giugno 2025</w:t>
      </w:r>
    </w:p>
    <w:p>
      <w:pPr>
        <w:pStyle w:val="Heading2"/>
      </w:pPr>
      <w:r>
        <w:t>Regeste</w:t>
      </w:r>
    </w:p>
    <w:p>
      <w:r>
        <w:t>Asile et renvoi (procédure accélérée)</w:t>
      </w:r>
    </w:p>
    <w:p>
      <w:pPr>
        <w:pStyle w:val="Heading2"/>
      </w:pPr>
      <w:r>
        <w:t>Erwägungen</w:t>
      </w:r>
    </w:p>
    <w:p>
      <w:r>
        <w:rPr>
          <w:b/>
        </w:rPr>
        <w:t>E. 1.1</w:t>
      </w:r>
    </w:p>
    <w:p>
      <w:r>
        <w:t>Le Tribunal, conformément à l'art. 31 LTAF, connaît des recours contre les décisions selon l'art. 5 PA prises par les autorités mentionnées à l'art. 33 LTAF.</w:t>
      </w:r>
    </w:p>
    <w:p>
      <w:r>
        <w:rPr>
          <w:b/>
        </w:rPr>
        <w:t>E. 1.2</w:t>
      </w:r>
    </w:p>
    <w:p>
      <w:r>
        <w:t>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1.3</w:t>
      </w:r>
    </w:p>
    <w:p>
      <w:r>
        <w:t>A._______ a qualité pour recourir (art. 48 al. 1 PA). Présenté en outre dans la forme et dans le délai prescrits par la loi (art. 52 al. 1 PA et art. 108 al. 1 LAsi), son recours est recevable.</w:t>
      </w:r>
    </w:p>
    <w:p>
      <w:r>
        <w:rPr>
          <w:b/>
        </w:rPr>
        <w:t>E. 1.4</w:t>
      </w:r>
    </w:p>
    <w:p>
      <w:r>
        <w:t>Il est renoncé à un échange d'écritures (art. 111a al. 1 LAsi).</w:t>
      </w:r>
    </w:p>
    <w:p>
      <w:r>
        <w:rPr>
          <w:b/>
        </w:rPr>
        <w:t>E. 2.1</w:t>
      </w:r>
    </w:p>
    <w:p>
      <w:r>
        <w:t>Il convient en premier lieu d’examiner le grief formel soulevé par l’intéressée, celui-ci étant susceptible d’entraîner l'annulation de la décision attaquée, indépendamment des chances de succès du recours sur le fond (cf. ATF 144 I 11 consid. 5.3 et la jurisp. cit. ; ATAF 2019 VII/6 consid. 4.1 ; 2013/34 consid. 4.2 ; 2013/23 consid. 6.1.3 ; 2010/35 consid. 4.1.1 et jurisp. cit.). A._______ se plaint d’une violation de son droit d'être entendu, faisant valoir que l’autorité intimée avait omis de procéder à une instruction complète et minutieuse de son état de santé, au mépris de la maxime inquisitoire, malgré les indices ressortant de ses déclarations lors de l’audition du 1er avril 2025 et des rapports médicaux produits. Le SEM aurait fait fi de la demande de la prénommée tendant à ce qu’elle soit placée en procédure étendue afin de pouvoir bénéficier d'un suivi médical et psychologique approprié, seul apte à déterminer la nature exacte de ses problèmes de santé.</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w:t>
      </w:r>
    </w:p>
    <w:p>
      <w:r>
        <w:t>D-2905/2025 Page 7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 droit d’être entendu, inscrit à l’art. 29 al. 2 Cst.,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l’occurrence, le SEM a établi correctement les faits et motivé sa décision à satisfaction de droit, sans qu’un défaut d’instruction puisse lui être reproché. Il a tenu compte de tous les éléments allégués ainsi que des moyens de preuve de nature médicale concernant la recourante versés à son dossier. Procédant, sans arbitraire, à une évaluation anticipée des preuves, le SEM était fondé à retenir – sur la base notamment des pièces médicales déjà à sa disposition et des déclarations clairement invraisemblables de la recourante sur les graves sévices sexuels et autres maltraitances prétendument subis au pays, comme il le sera vu par la suite – que l’état de santé de la recourante avait été suffisamment établi pour statuer en connaissance de cause (voir à ce sujet ch. III 2 [spéc. p. 5 par. 3] de la décision attaquée). Il n’avait donc pas à requérir, ni à attendre, la production de rapports médicaux actualisés. La nature même de la présente décision, prise à bon escient dans le cadre de la procédure accélérée, et l’examen de la demande durant le séjour au CFA excluent par définition une instruction plus étendue.</w:t>
      </w:r>
    </w:p>
    <w:p>
      <w:r>
        <w:t>D-2905/2025 Page 8</w:t>
      </w:r>
    </w:p>
    <w:p>
      <w:r>
        <w:rPr>
          <w:b/>
        </w:rPr>
        <w:t>E. 2.4</w:t>
      </w:r>
    </w:p>
    <w:p>
      <w:r>
        <w:t>Le grief formel s’avérant mal fondé, il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relevé une série d’invraisemblances, lesquelles ne sauraient s’expliquer de la manière décrite dans le recours. Celles-ci ne peuvent en particulier pas avoir pour cause plausible les problèmes psychiques de l’intéressée, son peu d’instruction, une situation de stress et d’angoisse lors de l’audition du 1er avril 2025 et/ou des difficultés à confier certains aspects douloureux de son parcours de vie, respectivement la peur d’être jugée négativement en raison de l’accusation de sorcellerie portée à son égard.</w:t>
      </w:r>
    </w:p>
    <w:p>
      <w:r>
        <w:rPr>
          <w:b/>
        </w:rPr>
        <w:t>E. 4.2</w:t>
      </w:r>
    </w:p>
    <w:p>
      <w:r>
        <w:t>Le SEM a d’abord exposé que le récit rapporté ne comportait pas d’éléments susceptibles de démontrer qu’elle avait effectivement vécu les événements relatés, relevant notamment la pauvreté de ses propos sur sa séquestration, son évasion et le moment où elle avait appris le décès de ses parents. Il a également mentionné dans sa décision que certains passages du récit de l’intéressée étaient illogiques et stéréotypés. Concernant les circonstances du décès de l'enfant, il n'était pas cohérent que la recourante soit si bien informée sur le déroulement des événements et les actions des médecins, alors même qu’elle n'était pas à l'hôpital et n'avait pas été partie prenante aux discussions qui avaient suivi. Il n'était pas davantage plausible que cet enfant, qui semblait</w:t>
      </w:r>
    </w:p>
    <w:p>
      <w:r>
        <w:t>D-2905/2025 Page 9 pourtant en parfaite santé le matin, décède de manière si brutale le soir venu alors qu'il était pris en charge par des médecins. Il n'était pas non plus crédible que des policiers, agents de l'Etat, qui montaient la garde chez D._______, l’arrêtent et la détiennent dans un dépôt sis sur la parcelle de son employeur, alors qu'ils auraient pu l’emmener dans un poste de police. Le SEM a ajouté que l’intéressée n’avait pas pu être détenue, ni s’évader, dans les circonstances décrites. Il n'était pas plausible qu’elle soit parvenue, après plusieurs jours de graves maltraitances, à s’échapper ainsi par une porte miraculeusement laissée ouverte. Vu l'influence de D._______, il n'était pas non plus crédible que les policiers qui gardaient le domicile de cet officier aient relâché leur surveillance sous prétexte que son fils se trouvait à l'extérieur du dépôt, d'autant plus que celui-ci était un alcoolique notoire. Cette autorité a ajouté que la recourante avait aussi expliqué avoir trouvé refuge chez son oncle, qui lui avait conseillé de passer la nuit chez lui avant d'avertir ses parents le lendemain. Si elle avait effectivement été séquestrée pendant plusieurs jours sans pouvoir donner des nouvelles à ses parents, probablement fort inquiets vu sa disparition, son oncle les aurait informés immédiatement de ce qui lui était arrivé, à plus forte raison encore au regard du fait que cette évasion mettait logiquement ses proches en danger. En outre, A._______ avait expliqué avoir quitté légalement son pays, munie de son propre passeport. Vu l'influence de son ancien employeur, il n'était pas crédible qu’elle ait pu quitter le pays dans les circonstances décrites sans rencontrer le moindre problème. A cela s’ajoutait qu’elle et sa famille avaient l'intention de s’expatrier depuis le mois de juillet 2024 déjà, grâce à un visa familial, ce qui, toujours selon le SEM, achevait de convaincre que les allégations sur les événements de septembre 2024 avaient été avancées uniquement pour les besoins de la cause. Cette autorité a encore ajouté que, lors de l'audition du 6 mars 2025, l’intéressée avait indiqué que ses enfants vivaient chez ses parents, pourtant prétendument décédés, et n’avait pas pu donner d’explication convaincante lorsqu’elle avait été confrontée à cette contradiction.</w:t>
      </w:r>
    </w:p>
    <w:p>
      <w:r>
        <w:rPr>
          <w:b/>
        </w:rPr>
        <w:t>E. 4.3</w:t>
      </w:r>
    </w:p>
    <w:p>
      <w:r>
        <w:t>En outre, le Tribunal relève encore les autres invraisemblances suivantes relatives aux motifs d’asile de la recourante. En premier lieu, durant l’audition du 1er avril 2025, l’intéressée a insisté à plusieurs reprises avoir subi des agressions sexuelles par le fils de D._______ uniquement. Elle a par contre déclaré au personnel médical en charge d’elle au Centre de</w:t>
      </w:r>
    </w:p>
    <w:p>
      <w:r>
        <w:t>D-2905/2025 Page 10 C._______ qu’elle avait été aussi violée par son ancien employeur (voir à ce sujet le journal de soins du 14 mars 2025 [let. B.b des faits]). En outre, elle a allégué durant l’instruction de sa demande d’asile en première instance avoir été uniquement agressée sexuellement durant sa prétendue détention en septembre 2024, mais a ensuite exposé lors de son contrôle gynécologique du 1er mai 2025 avoir en fait été victime de sévices sexuels « en décembre 2024 » (voir let. F. des faits). Il paraît aussi clairement contraire à l’expérience de la vie qu’après avoir appris la fin tragique et brutale des parents de la recourante, son oncle l’ait encore hébergée pendant plus de trois mois à son domicile, malgré la gravité du risque encouru non seulement pour sa nièce, mais aussi pour lui-même et sa propre famille. En effet, si l’on devait s’en tenir aux allégations de la recourante, il aurait été prévisible que D._______ effectue d’abord des recherches pour retrouver la fuyarde auprès des membres de sa famille proche, ce qui n’aurait guère posé de problèmes pour lui au regard de sa prétendue grande influence et ses appuis auprès des forces de police. En outre, après son arrivée alléguée en Suisse le (…) décembre 2024, l’intéressée n’a pas cherché à déposer une demande d’asile dans les meilleurs délais, mais seulement plus de deux mois après, attitude qui n’est pas celle attendue d’une personne cherchant protection suite à de graves sévices, en particulier d’ordre sexuel, subis au pays. Il est aussi peu crédible que sa passeuse la fasse encore héberger chez des proches à elle se trouvant en Suisse, sans aucune contrepartie financière ou autre (p. ex. participation à des tâches ménagères), au lieu de faire le nécessaire pour qu’elle puisse y déposer une demande d’asile sans attendre. Il n’est pas non plus plausible que l’intéressée n’ait plus reçu aucune information sur le sort de ses proches restés au pays depuis son arrivée en Europe. Même à supposer qu’elle soit aussi peu instruite qu’elle le laisse entendre, il n’est pas crédible qu’elle n’ait pas pu prendre contact avec eux en plus de quatre mois – par exemple en faisant appel, en cas de réel besoin, à sa tante maternelle, soit la sœur de son oncle, résidant de manière légale en Suisse (voir à ce sujet ch. 3.01 du procès-verbal [ci-après : pv] de l’audition du 6 mars 2025 et Q. 123 de celui de l’audition principale) – alors que ce proche parent résidant au pays pouvait facilement être joint par téléphone. Enfin, la recourante n’a fourni aucun moyen de preuve en lien avec ses motifs d’asile, le seul document officiel produit pour établir son identité, à savoir une « carte d’électeur », étant dénué de valeur probante. En effet, le prénom et</w:t>
      </w:r>
    </w:p>
    <w:p>
      <w:r>
        <w:t>D-2905/2025 Page 11 l’année de naissance indiqués sur cette pièce censément officielle sont différents de ceux de son passeport (voir à ce sujet l’extrait Eurodac où figurent ses coordonnées enregistrées lors d’une demande de visa effectuée en juillet 2024 à l’Ambassade de E._______ à Kinshasa [voir pièce 10 du dossier SEM]). En outre, l’adresse officielle qui y est apposée ne correspond pas à celle donnée au SEM, mais se situe dans une autre commune de Kinshasa (voir à ce propos également ch. 2 du pv de l’audition du 6 mars 2025). La photographie de cette carte d’électeur ne permet pas non plus de reconnaître avec certitude l’intéressée ; à supposer qu’il s’agisse réellement d’elle, il s’agirait d’un cliché ancien, car montrant une femme bien plus jeune, ce qui ne manque pas surprendre au regard de la date d’établissement très récente de ladite carte. En effet, cette pièce a été délivrée le (…) janvier 2025 à Kinshasa, soit après le départ allégué de son pays en décembre 2024, ce qui laisse présumer qu’elle l’a quitté bien plus tard (voir également ses allégations invraisemblables sur un séjour clandestin de plus de deux mois en Suisse avant le dépôt de sa demande, le 2 mars 2025 seulement) et pour des motifs étrangers à ceux exposés dans le cadre de sa procédure d’asile.</w:t>
      </w:r>
    </w:p>
    <w:p>
      <w:r>
        <w:rPr>
          <w:b/>
        </w:rPr>
        <w:t>E. 4.4</w:t>
      </w:r>
    </w:p>
    <w:p>
      <w:r>
        <w:t>Partant,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w:t>
      </w:r>
    </w:p>
    <w:p>
      <w:r>
        <w:t>D-2905/2025 Page 12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ne contrevient pas au principe de non-refoulement de l'art. 5 LAsi. Vu l’invraisemblance de ses motifs d’asile, la recourante n'a pas rendu crédible qu'en cas de retour dans son pays d'origine, elle serait exposée à de sérieux préjudices au sens de l'art. 3 LAsi.</w:t>
      </w:r>
    </w:p>
    <w:p>
      <w:r>
        <w:rPr>
          <w:b/>
        </w:rPr>
        <w:t>E. 7.2</w:t>
      </w:r>
    </w:p>
    <w:p>
      <w:r>
        <w:t>La recourante n’a pas non plus démontré à satisfaction qu'il existerait pour elle un véritable risque concret et sérieux d'être victime d’actes prohibés par les art. 3 CEDH ou Conv. torture en cas de retour dans son pays. C’est le lieu de rappeler que ses allégations relatives au fait qu’elle serait considérée comme une sorcière et poursuivie par un homme influent pour cette raison sont sans aucune substance. En outre, même à supposer qu’elle souffre réellement de troubles psychiques de nature traumatique, qui auraient dans ce cas une autre origine que celle alléguée à l’appui de ses motifs d’asile, son état de santé mental et physique actuel n’est manifestement pas d’une gravité telle qu’il ferait obstacle à l’exécution de son renvoi au regard de l’art. 3 CEDH (cf. arrêt de la CourEDH Paposhvili c. Belgique du 13 décembre 2016, Grande Chambre, requête n° 41738/10, par. 178 et 183). Un traitement suffisant au sens de la jurisprudence est du reste accessible en République démocratique du Congo, en particulier à Kinshasa, même en cas de possible péjoration passagère à caractère suicidaire, phénomène fréquemment observé chez des requérants d’asile déboutés confrontés à l’imminence d’un refoulement de Suisse (voir à ce sujet consid. 8.5 ci-après et réf. cit.).</w:t>
      </w:r>
    </w:p>
    <w:p>
      <w:r>
        <w:t>D-2905/2025 Page 13</w:t>
      </w:r>
    </w:p>
    <w:p>
      <w:r>
        <w:rPr>
          <w:b/>
        </w:rPr>
        <w:t>E. 7.3</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w:t>
      </w:r>
    </w:p>
    <w:p>
      <w:r>
        <w:rPr>
          <w:b/>
        </w:rPr>
        <w:t>E. 8.2</w:t>
      </w:r>
    </w:p>
    <w:p>
      <w:r>
        <w:t>Il est notoire que la République démocratique du Congo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8.3</w:t>
      </w:r>
    </w:p>
    <w:p>
      <w:r>
        <w:t>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en revanche retenu que tel n’était par contre pas le cas, en règle générale, pour des personnes accompagnées de jeunes enfants ou ayant seules la charge de plusieurs enfants, respectivement celles d’un âge avancé ou en mauvaise santé.</w:t>
      </w:r>
    </w:p>
    <w:p>
      <w:r>
        <w:rPr>
          <w:b/>
        </w:rPr>
        <w:t>E. 8.4</w:t>
      </w:r>
    </w:p>
    <w:p>
      <w:r>
        <w:t>Il ne ressort pas du dossier que la recourante pourrait, pour des raisons individuelles, se retrouver dans une situation menaçant son existence en cas de retour. Elle est jeune et au bénéfice d'une expérience professionnelle, de sorte qu’elle devrait pouvoir à terme retrouver un emploi rémunéré. En outre, elle dispose d’un réseau familial à Kinshasa, avec lequel elle a manifestement pu garder contact, qui pourra l’héberger et la soutenir d’autres manières à son retour. Celui-ci est composé, à tout le moins, de ses parents prétendument</w:t>
      </w:r>
    </w:p>
    <w:p>
      <w:r>
        <w:t>D-2905/2025 Page 14 décédés, qui s’occupent actuellement de ses enfants, de son frère cadet, de son oncle maternel ainsi que de la famille de celui-ci (voir à ce propos notamment ch. 3.02 du pv de l’audition du 6 mars 2025). En outre, bien que cela ne soit pas décisif, il a lieu de présumer, vu l’attitude de dissimulation dont elle a fait preuve à ce propos (voir p. ex. consid. 4.2 in fine et 4.3 in fine ci-dessus), qu’elle dispose encore d’autres attaches familiales et/ou sociales susceptibles de favoriser sa réintégration dans son pays d’origine.</w:t>
      </w:r>
    </w:p>
    <w:p>
      <w:r>
        <w:rPr>
          <w:b/>
        </w:rPr>
        <w:t>E. 8.5</w:t>
      </w:r>
    </w:p>
    <w:p>
      <w:r>
        <w:t>Concernant les problèmes de santé de l’intéressée, le SEM a retenu à juste titre que ses affections somatiques et psychiques pouvaient être prises en charge dans son pays d’origine, en particulier à Kinshasa. A supposer qu’elle souffre réellement aussi de troubles mentaux ayant une origine traumatique, cela ne changerait rien à la situation, un suivi suffisant y étant accessible même dans un tel cas de figure. Ce constat vaut également en cas de survenance de tendances suicidaires concrètes au moment du refoulement du Suisse, moyennant, en cas de besoin, une préparation et un accompagnement adéquats (cf. pour plus de détails sur ces questions notamment les arrêts du Tribunal E-1775/2024 du</w:t>
      </w:r>
    </w:p>
    <w:p>
      <w:r>
        <w:rPr>
          <w:b/>
        </w:rPr>
        <w:t>E. 8.6</w:t>
      </w:r>
    </w:p>
    <w:p>
      <w:r>
        <w:t>Partant, l'exécution du renvoi doit être considérée comme raisonnablement exigible. 9.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est également rejeté, en tant qu’il concerne le renvoi et l’exécution de cette mesure.</w:t>
      </w:r>
    </w:p>
    <w:p>
      <w:r>
        <w:t>D-2905/2025 Page 15</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12</w:t>
      </w:r>
    </w:p>
    <w:p>
      <w:r>
        <w:t>S'avérant manifestement infondé, le recours est rejeté dans une procédure à juge unique, avec l'approbation d'un second juge (art. 111 let. e LAsi).</w:t>
      </w:r>
    </w:p>
    <w:p>
      <w:r>
        <w:rPr>
          <w:b/>
        </w:rPr>
        <w:t>E. 13</w:t>
      </w:r>
    </w:p>
    <w:p>
      <w:r>
        <w:t>Le présent arrêt au fond rend sans objet la requête de dispense du versement d’une avance de frais.</w:t>
      </w:r>
    </w:p>
    <w:p>
      <w:r>
        <w:rPr>
          <w:b/>
        </w:rPr>
        <w:t>E. 14</w:t>
      </w:r>
    </w:p>
    <w:p>
      <w:r>
        <w:t>Dans la mesure où les conclusions du recours étaient d'emblée vouées à l'échec, la requête d'assistance judiciaire partielle doit être rejetée (art. 65 al. 1 PA).</w:t>
      </w:r>
    </w:p>
    <w:p>
      <w:r>
        <w:rPr>
          <w:b/>
        </w:rPr>
        <w:t>E. 15</w:t>
      </w:r>
    </w:p>
    <w:p>
      <w:r>
        <w:t>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D-2905/2025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