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D-2904/2021 vom 2. Juli 2021</w:t>
      </w:r>
    </w:p>
    <w:p>
      <w:r>
        <w:t>Bundesverwaltungsgericht, 2021-07-02, FR</w:t>
      </w:r>
    </w:p>
    <w:p>
      <w:r>
        <w:rPr>
          <w:b/>
        </w:rPr>
        <w:t xml:space="preserve">Quelle: </w:t>
      </w:r>
      <w:r>
        <w:t>https://mcp.opencaselaw.ch/entscheid/bvger_D-2904_2021</w:t>
      </w:r>
    </w:p>
    <w:p>
      <w:r>
        <w:t>FR: TAF D-2904/2021 du 2 juillet 2021</w:t>
      </w:r>
    </w:p>
    <w:p>
      <w:r>
        <w:t>IT: TAF D-2904/2021 del 2 luglio 2021</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1.2</w:t>
      </w:r>
    </w:p>
    <w:p>
      <w:r>
        <w:t>L'intéressé a qualité pour recourir (art. 48 al. 1 PA). Présenté dans la forme (art. 52 al. 1 PA) et le délai (art. 108 al. 6 LAsi) prescrits par la loi, son recours est recevable.</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 118 II 199 consid. 5 p. 205 ; ATAF 2014/39 consid. 4.5 et réf. cit. ; cf. également Karin Scherrer Reber, Praxiskommentar VwVG, op.cit., art. 66 PA no 26 p. 1357 et réf. cit. ;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2.3</w:t>
      </w:r>
    </w:p>
    <w:p>
      <w:r>
        <w:t>La requête de nouvel examen ne peut permettre une nouvelle appréciation de faits déjà connus en procédure ordinaire (cf. JICRA 2003 no 7 p. 45 et jurisp. cit.).</w:t>
      </w:r>
    </w:p>
    <w:p>
      <w:r>
        <w:rPr>
          <w:b/>
        </w:rPr>
        <w:t>E. 2.4</w:t>
      </w:r>
    </w:p>
    <w:p>
      <w:r>
        <w:t>La demande dûment motivée est déposée par écrit auprès du SEM dans les trente jours qui suivent la découverte du motif de réexamen (art. 111b al. 1 LAsi).</w:t>
      </w:r>
    </w:p>
    <w:p>
      <w:r>
        <w:rPr>
          <w:b/>
        </w:rPr>
        <w:t>E. 3.1</w:t>
      </w:r>
    </w:p>
    <w:p>
      <w:r>
        <w:t>Le recourant demande la reconsidération de la décision du SEM du 24 août 2020 en raison de la dégradation de son état de santé. Sa demande tend dès lors à obtenir la reconnaissance d'un changement notable de circonstances, postérieur à cette décision, de nature à faire constater l'illicéité, respectivement l'inexigibilité de l'exécution du renvoi.</w:t>
      </w:r>
    </w:p>
    <w:p>
      <w:r>
        <w:rPr>
          <w:b/>
        </w:rPr>
        <w:t>E. 3.2</w:t>
      </w:r>
    </w:p>
    <w:p>
      <w:r>
        <w:t>En l'espèce, la question de savoir si le motif de réexamen précité a été invoqué dans les trente jours qui suivent sa découverte (cf. art. 111b al. 1 LAsi) peut demeurer indécise, le SEM n'ayant en définitive pas formellement contesté que les conditions d'entrée en matière sur la demande de réexamen de l'intéressé étaient réalisées et l'ayant examinée au fond. La demande de réexamen est donc recevable.</w:t>
      </w:r>
    </w:p>
    <w:p>
      <w:r>
        <w:rPr>
          <w:b/>
        </w:rPr>
        <w:t>E. 4.1</w:t>
      </w:r>
    </w:p>
    <w:p>
      <w:r>
        <w:t>D'abord, il convient d'examiner si les raisons médicales avancées par le recourant sont de nature à faire admettre que l'exécution de son renvoi est devenue désormais illicite au sens de l'art. 83 al. 3 LEI, car contraire à l'art. 3 CEDH (ou à l'art. 3 de la Convention du 10 décembre 1984 contre la torture et autres peines ou traitements cruels, inhumains ou dégradants [Conv. torture, RS 0.105]).</w:t>
      </w:r>
    </w:p>
    <w:p>
      <w:r>
        <w:rPr>
          <w:b/>
        </w:rPr>
        <w:t>E. 4.2</w:t>
      </w:r>
    </w:p>
    <w:p>
      <w:r>
        <w:t>Dans la mesure où, comme on le verra ci-dessous, ses problèmes médicaux peuvent être pris en charge en Guinée, il n'a pas établi qu'il serait exposé, en cas de retour dans son pays, à un risque réel de se voir infliger des traitements contraires à l'art. 3 CEDH au sens de la jurisprudence de la CourEDH en raison de ses problèmes de santé (cf. arrêt de la CourEDH Paposhvili c. Belgique du 13 décembre 2016, Grande Chambre, requête no 41738/10, § 178 et 183 ; cf. arrêt de la CourEDH N. contre Royaume-Uni du 27 mai 2008, requête no 26565/05 ; cf. ATAF 2011/9 consid. 7.1). Il n'a en effet aucunement établi qu'il serait privé de tout soin médical. En tout état de cause, comme le SEM l'a à juste titre mentionné dans sa décision dont est recours, la dégradation de son état de santé ne serait pas telle qu'elle serait de nature à entraîner un déclin grave, rapide et irréversible de son état de santé entraînant des souffrances intenses ou une réduction significative de son espérance de vie (cf. arrêt Paposhvili précité).</w:t>
      </w:r>
    </w:p>
    <w:p>
      <w:r>
        <w:rPr>
          <w:b/>
        </w:rPr>
        <w:t>E. 4.3</w:t>
      </w:r>
    </w:p>
    <w:p>
      <w:r>
        <w:t>Dès lors, l'exécution du renvoi du recourant sous forme de refoulement ne transgresse aucun engagement de la Suisse relevant du droit international, de sorte qu'elle demeure licite (art. 44 LAsi et art. 83 al. 3 LEI).</w:t>
      </w:r>
    </w:p>
    <w:p>
      <w:r>
        <w:rPr>
          <w:b/>
        </w:rPr>
        <w:t>E. 5.1</w:t>
      </w:r>
    </w:p>
    <w:p>
      <w:r>
        <w:t>Selon l'art. 83 al. 4 LEI, l'exécution de la décision peut ne pas être raisonnablement exigée si le renvoi ou l'expulsion de l'étranger dans son pays d'origine ou de provenance le met concrètement en danger, par exemple en cas de nécessité médicale. Dans ce cadre, cette disposition s'applique aux personnes pour qui un retour reviendrait à les mettre concrètement en danger, notamment parce qu'elles ne pourraient plus recevoir les soins dont elles ont besoin (cf. ATAF 2014/26 consid. 7.3 à 7.10 ; 2011/50 consid. 8.1 à 8.3).</w:t>
      </w:r>
    </w:p>
    <w:p>
      <w:r>
        <w:rPr>
          <w:b/>
        </w:rPr>
        <w:t>E. 5.2</w:t>
      </w:r>
    </w:p>
    <w:p>
      <w:r>
        <w:t>Selon une jurisprudence constante, l'exécution du renvoi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w:t>
      </w:r>
    </w:p>
    <w:p>
      <w:r>
        <w:rPr>
          <w:b/>
        </w:rPr>
        <w:t>E. 5.3</w:t>
      </w:r>
    </w:p>
    <w:p>
      <w:r>
        <w:t>En l'espèce, selon le dernier rapport médical du 22 juin 2021, le recourant souffre d'un (...), d'un (...) et de (...). Ainsi, le diagnostic n'a guère évolué depuis l'appréciation des problèmes médicaux qui a été faite par le Tribunal dans son arrêt D-4734/2020 du 13 novembre 2020, seul l'épisode dépressif passant de « moyen » à « moyen à sévère » (cf. p. 2 du rapport médical du 22 juin 2021 sous « Statut », et p. 3 sous « diagnostic »). En outre, avait déjà été tenu compte, dans cet arrêt, des tendances suicidaires de l'intéressé, qui avait déjà été hospitalisé pour cette raison du (...) juillet au (...) août 2020 (cf. let. A.a supra ; cf. ATAF 2015/11 consid. 7.3.2). Par ailleurs, le traitement médicamenteux et le suivi psychologique n'ont pas changé depuis lors. Dans ces conditions, il ne fait aucun doute que le recourant, contrairement à ce qu'il soutient dans son recours sur la base, pour l'essentiel, des arguments qui ont fait l'objet de l'arrêt précité, pourra y bénéficier, en particulier à Conakry, des soins essentiels que requièrent ses pathologies, la médication qui lui est prescrite étant disponible sur place, à tout le moins des antidépresseurs et des anxiolytiques. En outre, en l'absence d'éléments nouveaux, il n'y a pas lieu de revenir sur l'appréciation opérée par le Tribunal dans cet arrêt, selon laquelle le recourant pourra reprendre une activité lucrative, les rapports médicaux au dossier ne faisant pas état d'une incapacité de travailler, et pourra compter, à son retour dans son pays d'origine, sur le soutien d'un réseau familial et social, ses déclarations concernant son vécu n'ayant pas été considérées comme vraisemblables. S'agissant du rapport médical du 22 juin 2021 (p. 5) faisant état d'un risque de « retraumatisation » du recourant dû à l'exposition à des situations traumatiques du passé vécues en Guinée, il y a lieu de rappeler que le recourant n'a pas rendu crédibles ses allégations concernant son vécu dans son pays d'origine et qu'il ne sera pas renvoyé dans un pays, notamment la Libye, par lequel il aurait voyagé pour venir en Europe et où il aurait subi des maltraitances. S'agissant enfin des troubles de nature suicidaire, il y a lieu de rappeler qu'ils sont couramment observés chez les personnes confrontées à l'imminence d'un renvoi ou devant faire face à l'incertitude de leur statut en Suisse. Cela dit, selon la pratique du Tribunal, ni une tentative de suicide ni des tendances suicidaires ("suicidalité") ne constituent en soi un obstacle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En particulier, il appartiendra aux autorités d'exécution du renvoi de vérifier les éventuelles mesures d'accompagnement qu'impose l'état de santé du recourant de manière à prévenir, le cas échéant, tout acte d'auto-agression de sa part.</w:t>
      </w:r>
    </w:p>
    <w:p>
      <w:r>
        <w:rPr>
          <w:b/>
        </w:rPr>
        <w:t>E. 5.4</w:t>
      </w:r>
    </w:p>
    <w:p>
      <w:r>
        <w:t>Il s'ensuit que le recours, en tant qu'il conteste le rejet de la demande de réexamen, doit être rejeté.</w:t>
      </w:r>
    </w:p>
    <w:p>
      <w:r>
        <w:rPr>
          <w:b/>
        </w:rPr>
        <w:t>E. 6.1</w:t>
      </w:r>
    </w:p>
    <w:p>
      <w:r>
        <w:t>Au vu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w:t>
      </w:r>
    </w:p>
    <w:p>
      <w:r>
        <w:rPr>
          <w:b/>
        </w:rPr>
        <w:t>E. 6.2</w:t>
      </w:r>
    </w:p>
    <w:p>
      <w:r>
        <w:t>Toutefois, la demande d'assistance judiciaire partielle ayant été admise par décision incidente du 25 juin 2021,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