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D-2902/2025 vom 20. März 2025</w:t>
      </w:r>
    </w:p>
    <w:p>
      <w:r>
        <w:t>Bundesverwaltungsgericht, 2025-03-20, DE</w:t>
      </w:r>
    </w:p>
    <w:p>
      <w:r>
        <w:rPr>
          <w:b/>
        </w:rPr>
        <w:t xml:space="preserve">Quelle: </w:t>
      </w:r>
      <w:r>
        <w:t>https://mcp.opencaselaw.ch/entscheid/bvger_D-2902_2025_d20250320</w:t>
      </w:r>
    </w:p>
    <w:p>
      <w:r>
        <w:t>FR: TAF D-2902/2025 du 20 mars 2025</w:t>
      </w:r>
    </w:p>
    <w:p>
      <w:r>
        <w:t>IT: TAF D-2902/2025 del 20 marzo 2025</w:t>
      </w:r>
    </w:p>
    <w:p>
      <w:pPr>
        <w:pStyle w:val="Heading2"/>
      </w:pPr>
      <w:r>
        <w:t>Regeste</w:t>
      </w:r>
    </w:p>
    <w:p>
      <w:r>
        <w:t>Asyl und Wegweisung | Asyl und Wegweisung; Verfügung des SEM vom 20. März 2025</w:t>
      </w:r>
    </w:p>
    <w:p>
      <w:pPr>
        <w:pStyle w:val="Heading2"/>
      </w:pPr>
      <w:r>
        <w:t>Volltext</w:t>
      </w:r>
    </w:p>
    <w:p>
      <w:r>
        <w:t>Bundesverwal tungsgeri cht T ri bunal admi ni strati f fédéral T ri bunal e amm ini strati vo federal e T ri bunal admi ni strati v federal</w:t>
      </w:r>
    </w:p>
    <w:p>
      <w:r>
        <w:t>Abteilung IV D-2902/2025</w:t>
      </w:r>
    </w:p>
    <w:p>
      <w:r>
        <w:t>U r t e i l v o m 1 3 . M a i 2 0 2 5 Besetzung Einzelrichter Simon Thurnheer, mit Zustimmung von Richter Lukas Müller; Gerichtsschreiberin Leslie Werne. Parteien A._______, geboren am (…), Iran, (…), Beschwerdeführer,</w:t>
      </w:r>
    </w:p>
    <w:p>
      <w:r>
        <w:t>gegen Staatssekretariat für Migration (SEM), Quellenweg 6, 3003 Bern, Vorinstanz. Gegenstand Asyl und Wegweisung; Verfügung des SEM vom 20. März 2025 / N (…).</w:t>
      </w:r>
    </w:p>
    <w:p>
      <w:r>
        <w:t>D-2902/2025 Seite 2 Das Bundesverwaltungsgericht stellt fest, dass der Beschwerdeführer am 21. Mai 2023 in der Schweiz um Asyl nach- suchte, dass er am 27. Juli 2023 respektive 23. April 2024 zu seinen Gesuchsgrün- den angehört wurde, dass er geltend machte, er sei iranischer Staatsangehöriger, gehöre der Volksgruppe der Azeris an und habe vor seiner Ausreise in B._______ ge- lebt, wo er in einer Schuhfabrik tätig gewesen sei, dass er zur Begründung des Asylgesuchs im Wesentlichen geltend machte, er sei aufgrund seiner Besuche einer Kirche zweimalig durch Un- bekannte entführt, festgehalten und misshandelt worden, dass er zudem an regimekritischen Protesten teilgenommen habe, dass der Beschwerdeführer am 28. Februar 2025 zu den Abklärungs- ergebnissen der Vorinstanz zu seinem Reisepass sowie seiner Ausreise Stellung nahm, dass die Vorinstanz mit Verfügung vom 20. März 2025 – tags darauf eröff- net – die Flüchtlingseigenschaft des Beschwerdeführers verneinte, sein Asylgesuch ablehnte und die Wegweisung aus der Schweiz sowie den Voll- zug anordnete, dass der Beschwerdeführer mit Eingabe vom 22. April 2025 gegen diese Verfügung Beschwerde beim Bundesverwaltungsgericht erhob und bean- tragte, die angefochtene Verfügung sei aufzuheben, seine Flüchtlings- eigenschaft anzuerkennen und ihm Asyl zu gewähren, dass die Sache eventualiter an die Vorinstanz zurückzuweisen sei, dass er subeventualiter vorläufig aufzunehmen sei, dass er in verfahrensrechtlicher Hinsicht um Gewährung der unentgeltli- chen Prozessführung (inkl. Verzicht auf die Erhebung eines Kostenvor- schusses) ersuchte, dass die vorinstanzlichen Akten dem Bundesverwaltungsgericht am 24. April 2025 in elektronischer Form vorlagen (vgl. Art. 109 Abs. 1 AsylG),</w:t>
      </w:r>
    </w:p>
    <w:p>
      <w:r>
        <w:t>D-2902/2025 Seite 3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in der Beschwerdeschrift die Rückweisung der Sache an die Vor- instanz zu weiteren Abklärungen und zur Neubeurteilung beantragt wird, dass sich aus dem Umstand alleine, dass das SEM zu einem anderen Schluss gelangt, als vom Beschwerdeführer erhofft, weder eine unrichtige respektive unvollständige Feststellung des Sachverhalts noch eine Verlet- zung der Begründungspflicht ableiten lässt, dass die Vorinstanz den vorliegenden Sachverhalt rechtsgenüglich abge- klärt und sich in der angefochtenen Verfügung nachvollziehbar und hinrei- chend differenziert mit den zentralen Vorbringen des Beschwerdeführers – auch mit der aktuellen Menschenrechtslage und seiner persönlichen Si- tuation im Heimatstaat – auseinandergesetzt hat, dass es ihm denn auch offenkundig problemlos möglich war, die Verfügung mit einer zehn Seiten umfassenden Beschwerde sachgerecht anzufechten, dass das Rückweisungsbegehren demnach abzuweisen ist,</w:t>
      </w:r>
    </w:p>
    <w:p>
      <w:r>
        <w:t>D-2902/2025 Seite 4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wer um Asyl nachsucht, die Flüchtlingseigenschaft nachweisen oder zumindest glaubhaft machen muss, was der Fall ist, wenn die Behörde ihr Vorhandensein mit überwiegender Wahrscheinlichkeit für gegeben hält, dass insbesondere Vorbringen, die in wesentlichen Punkten zu wenig be- gründet oder in sich widersprüchlich sind, den Tatsachen nicht entspre- chen oder massgeblich auf gefälschte oder verfälschte Beweismittel abge- stützt werden (Art. 7 AsylG) unglaubhaft sind, dass das SEM seinen Asylentscheid im Wesentlichen damit begründet, die Vorbringen des Beschwerdeführers hielten weder den Anforderungen an die Flüchtlingseigenschaft noch jenen an die Glaubhaftigkeit stand, wobei auf die zutreffenden Ausführungen der Vorinstanz zu verweisen ist, dass sich der Beschwerdeführer in seiner Rechtsmitteleingabe im Kern da- rauf beschränkt, seine aus dem erstinstanzlichen Verfahren bekannten Vorbringen nochmals zu bekräftigen, und damit nichts vorgebracht wird, was geeignet wäre, den vorinstanzlichen Erwägungen etwas entgegenzu- setzen, dass die Vorbringen des Beschwerdeführers zu der behaupteten Verfol- gung wiederholt widersprüchlich ausgefallen sind und diesbezüglich auf die zutreffenden Ausführungen in der angefochtenen Verfügung verwiesen werden kann (vgl. A29/13 S. 4), dass der Beschwerdeführer dies auch auf Beschwerdeebene nicht zu er- klären vermag, zumal sein pauschales Vorbringen in der Beschwerde- schrift, die von der Vorinstanz aufgezeigten Unstimmigkeiten in seinen Aussagen seien seinen traumatischen Erfahrungen, zeitlicher Distanz und kulturellen Unterschieden geschuldet, als reine Schutzbehauptung zu qua- lifizieren ist, dass die im vorinstanzlichen Verfahren eingereichten Ausdrucke undatier- ter Fotografien (vgl. BM 3/8) an der Unglaubhaftigkeit der geltend gemach- ten Entführungen nichts zu ändern vermögen, geben sie doch keinerlei</w:t>
      </w:r>
    </w:p>
    <w:p>
      <w:r>
        <w:t>D-2902/2025 Seite 5 Aufschluss darüber, wo, wann und unter welchen Umständen die Fotogra- fien entstanden sind, dass denn ohnehin die angebliche Konversion zum Christentum und die behaupteten Kirchenbesuche des Beschwerdeführers in Iran sehr fraglich erscheinen, nachdem er (teilweise) weder die fraglichen Kirchen nament- lich benennen noch zur konfessionellen Ausrichtung Auskunft geben konnte (vgl. A13/19 F55 ff. und A23/18 F91), was sich entgegen der Be- schwerdeschrift auch nicht damit erklären lässt, dass er «Laie» ist (vgl. Be- schwerde S. 5), dass denn auch kaum wahrscheinlich erscheint, der politisch nicht aktive Beschwerdeführer könnte aufgrund seiner behaupteten Teilnahme an re- gimekritischen Massenprotesten im Heimatstaat in den Fokus der heimat- lichen Behörden geraten sein (vgl. A13/19 F93 f.), zumal es sich bei die- sem unsubstantiierten Vorbringen offensichtlich um eine unbelegte Partei- behauptung handelt, dass denn auch der augenscheinlich problemlose Behördenkontakt zur Er- langung eines neuen Reisepasses im Jahr 2022 (vgl. A7/1) gegen die be- hauptete Bedrohungslage im Heimatland spricht und vermuten lässt, der Beschwerdeführer sei entgegen seiner Behauptung legal aus dem Iran ausgereist, dass der Umstand, dass der Beschwerdeführer im gleichen Jahr erfolglos ein Schengen-Visum beantragte und er dies gegenüber dem SEM erst auf konkretes Nachfragen hin offenlegte (vgl. A7/1 und A27/2) vermuten lässt, er habe seine Fluchtgründe bewusst konstruiert, dass die Konversion des Beschwerdeführers zum Christentum in der Schweiz grundsätzlich nicht in Frage steht, dennoch mit der Vorinstanz festzustellen ist, dass seine Glaubensausübung hierzulande sich nicht dazu eignet, flüchtlingsrechtlich relevante Massnahmen in Iran auszulö- sen, dass bei Konversionen im Ausland ein Glaubenswechsel nur dann flücht- lingsrechtlich relevante Massnahmen auszulösen vermag, wenn die christ- liche Glaubensausübung in der Schweiz aktiv und sichtbar nach aussen praktiziert wird und im Einzelfall davon ausgegangen werden muss, dass das heimatliche Umfeld von einer solchen – allenfalls gar missionierende Züge annehmenden – Glaubensausübung erfährt und die asylsuchende</w:t>
      </w:r>
    </w:p>
    <w:p>
      <w:r>
        <w:t>D-2902/2025 Seite 6 Person denunziert (vgl. Urteil des BVGer E-5163/2020 vom 31. Oktober 2024 E. 7.4.2 m.H.a. BVGE 2009/28 E. 7.3.4 f.), dass sich der Beschwerdeführer zwar hierzulande taufen liess (vgl. BM6/1), sich in den Akten jedoch keine Hinweise darauf finden, er be- absichtige seinen christlichen Glauben aktiv und öffentlich zu leben, dass aufgrund seiner Aussagen vielmehr davon auszugehen ist, seine christliche Glaubensausübung in der Schweiz beschränke sich auf seinen Privatbereich (vgl. A13/19 F55 ff), womit nicht anzunehmen ist, diese könnte öffentlich bekannt geworden sein, dass das im vorinstanzlichen Verfahren zu den Akten gereichte Schreiben der Persischen Christlichen Gemeinde Schweiz daran nichts zu ändern vermag, da darin lediglich knapp und unsubstantiiert behauptet wird, der Beschwerdeführer sei «sehr aktiv in der Gemeinde» (vgl. BM5/1), wobei darüber hinaus das fragliche Beweismittel ohnehin als Gefälligkeitsschrei- ben zu qualifizieren ist, womit ihm kaum Beweiswert zukommt, dass es dem Beschwerdeführer demnach nicht gelingt, die Flüchtlingsei- genschaft nachzuweisen oder zumindest glaubhaft zu machen, weshalb die Vorinstanz die Asylgesuche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w:t>
      </w:r>
    </w:p>
    <w:p>
      <w:r>
        <w:t>D-2902/2025 Seite 7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 schwerdeführers (vgl. Urteil des BVGer D-7498/2024 vom 8. Januar 2025 E. 10.3.1) noch individuelle Gründe auf eine konkrete Gefährdung im Falle seiner Rückkehr schliessen lassen und diesbezüglich auf die zutreffenden Erwägungen der Vorinstanz zu verweisen ist, welche der Beschwerdefüh- rer nicht substantiiert bestreitet,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ab- 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D-2902/2025 Seite 8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