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D-2902/2013 vom 30. Mai 2013</w:t>
      </w:r>
    </w:p>
    <w:p>
      <w:r>
        <w:t>Bundesverwaltungsgericht, 2013-05-30, IT</w:t>
      </w:r>
    </w:p>
    <w:p>
      <w:r>
        <w:rPr>
          <w:b/>
        </w:rPr>
        <w:t xml:space="preserve">Quelle: </w:t>
      </w:r>
      <w:r>
        <w:t>https://mcp.opencaselaw.ch/entscheid/bvger_D-2902_2013</w:t>
      </w:r>
    </w:p>
    <w:p>
      <w:r>
        <w:t>FR: TAF D-2902/2013 du 30 mai 2013</w:t>
      </w:r>
    </w:p>
    <w:p>
      <w:r>
        <w:t>IT: TAF D-2902/2013 del 30 maggio 2013</w:t>
      </w:r>
    </w:p>
    <w:p>
      <w:pPr>
        <w:pStyle w:val="Heading2"/>
      </w:pPr>
      <w:r>
        <w:t>Regeste</w:t>
      </w:r>
    </w:p>
    <w:p>
      <w:r>
        <w:t>Asilo (non entrata nel merito / safe country)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L'esecuzione dell'allontanamento del ricorrente viene coordinata con quella relativa alla compagno, rispettivamente padre (Sentenza del Tribunale D-2978/2013).</w:t>
      </w:r>
    </w:p>
    <w:p>
      <w:r>
        <w:rPr>
          <w:b/>
        </w:rPr>
        <w:t>E. 3</w:t>
      </w:r>
    </w:p>
    <w:p>
      <w:r>
        <w:t>Le spese processuali, di CHF 600.-, sono pose a carico della ricorrente. Tale ammontare deve essere versato alla cassa del Tribunale amministrativo federale entro un termine di 30 giorni dalla data della spedizione della presente sentenza.</w:t>
      </w:r>
    </w:p>
    <w:p>
      <w:r>
        <w:rPr>
          <w:b/>
        </w:rPr>
        <w:t>E. 4</w:t>
      </w:r>
    </w:p>
    <w:p>
      <w:r>
        <w:t>Questa sentenza è comunicata alla ricorrente, all'UFM e all'autorità cantonale competente. Il giudice unico: Il cancelliere: Daniele Cattaneo Gilles Fasola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