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D-2898/2015 vom 12. Mai 2015</w:t>
      </w:r>
    </w:p>
    <w:p>
      <w:r>
        <w:t>Bundesverwaltungsgericht, 2015-05-12, DE</w:t>
      </w:r>
    </w:p>
    <w:p>
      <w:r>
        <w:rPr>
          <w:b/>
        </w:rPr>
        <w:t xml:space="preserve">Quelle: </w:t>
      </w:r>
      <w:r>
        <w:t>https://mcp.opencaselaw.ch/entscheid/bvger_D-2898_2015</w:t>
      </w:r>
    </w:p>
    <w:p>
      <w:r>
        <w:t>FR: TAF D-2898/2015 du 12 mai 2015</w:t>
      </w:r>
    </w:p>
    <w:p>
      <w:r>
        <w:t>IT: TAF D-2898/2015 del 12 maggio 2015</w:t>
      </w:r>
    </w:p>
    <w:p>
      <w:pPr>
        <w:pStyle w:val="Heading2"/>
      </w:pPr>
      <w:r>
        <w:t>Regeste</w:t>
      </w:r>
    </w:p>
    <w:p>
      <w:r>
        <w:t>Nichteintreten auf Asylgesuch (sicherer Drittstaat) und Wegweisung</w:t>
      </w:r>
    </w:p>
    <w:p>
      <w:pPr>
        <w:pStyle w:val="Heading2"/>
      </w:pPr>
      <w:r>
        <w:t>Erwägungen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2.3</w:t>
      </w:r>
    </w:p>
    <w:p>
      <w:r>
        <w:t>Auf den Beschwerdeantrag hinsichtlich der Gewährung von Asyl ist daher nicht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Italien wurde am 14. Dezember 2007 vom Bundesrat als sicherer Drittstaat im Sinne von Art. 6a Abs. 2 Bst. b AsylG bezeichnet. Der Beschwerdeführer hat sich vor der Einreise in die Schweiz unbestrittenermassen in Italien aufgehalten und dort ein Asylverfahren durchlaufen, das mit dem Zusprechen subsidiären Schutzes endete und auch die Erteilung einer entsprechenden Aufenthaltsbewilligung zur Folge hatte.</w:t>
      </w:r>
    </w:p>
    <w:p>
      <w:r>
        <w:rPr>
          <w:b/>
        </w:rPr>
        <w:t>E. 5.3</w:t>
      </w:r>
    </w:p>
    <w:p>
      <w:r>
        <w:t>Italien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Italien sei fehlerhaft gewesen respektive es würde ihm in Italien eine Rückschiebung in seinen Heimatstaat unter Verletzung des flüchtlings- oder menschenrechtlichen Refoulement-Verbots drohen. Ferner enthält die Beschwerde keine diesbezüglichen Einwände, so dass das BFM demnach in Anwendung von Art. 31a Abs. 1 Bst. a AsylG zu Recht auf das Asylgesuch des Beschwerdeführers nicht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7.3</w:t>
      </w:r>
    </w:p>
    <w:p>
      <w:r>
        <w:t>Der Vollzug der Wegweisung ist vorliegend in Beachtung der massgeblichen völker- und landesrechtsrechtlichen Bestimmungen zulässig, da der Beschwerdeführer in einen Drittstaat (Italien) reisen kann, in welchem nach dem oben Gesagten keine Rückschiebung im Sinne von Art. 5 Abs. 1 AsylG zu befürchten ist.</w:t>
      </w:r>
    </w:p>
    <w:p>
      <w:r>
        <w:rPr>
          <w:b/>
        </w:rPr>
        <w:t>E. 8</w:t>
      </w:r>
    </w:p>
    <w:p>
      <w:r>
        <w:t>Auch Art. 8 EMRK steht einem Vollzug der Wegweisung nicht entgegen. Einerseits sind an der Ernsthaftigkeit sowie der Beständigkeit der Beziehung gewisse Zweifel angebracht, wobei auf die Ausführungen der Vorinstanz verwiesen werden kann. Doch selbst wenn man die Beziehung unter den Schutzbereich von Art. 8 EMRK subsumieren würde, so wäre der mit einer Wegweisung verbundene Eingriff in diesen gerechtfertigt. Dabei ist vorauszuschicken, dass das Hauptanliegen des Beschwerdeführers nicht in einer Behandlung seines - bereits in Italien durchgeführten - Asylverfahrens liegt, sondern in einer Familienzusammenführung gemäss Art. 51 AsylG oder gegebenenfalls nach den Bestimmungen des AuG (SR 142.20). Vom Beschwerdeführer und seiner Partnerin kann verlangt werden, dass sie ein solches Verfahren mit einem entsprechenden Gesuch bei der zuständigen Behörde einleiten. Es kann dem Beschwerdeführer auch zugemutet werden, den Ausgang eines solchen Verfahrens in Italien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könnte zudem vertieft der Frage nach der tatsächlich gelebten Beziehung und der Trennung durch die Flucht nachgegangen werden. Der Vollzug der Wegweisung erweist sich mithin als zulässig.</w:t>
      </w:r>
    </w:p>
    <w:p>
      <w:r>
        <w:rPr>
          <w:b/>
        </w:rPr>
        <w:t>E. 8.1</w:t>
      </w:r>
    </w:p>
    <w:p>
      <w:r>
        <w:t>Schliesslich erweist sich der Wegweisungsvollzug als zumutbar und möglich, zumal den Akten keine anderweitigen Hinweise entnommen werden können.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Aufgrund dieser Erwägungen ist die Beschwerde als von vornherein aussichtlos zu erachten, wodurch das Gesuch um Gewährung der unentgeltlichen Prozessführung und amtlichen Rechtsverbeiständung gemäss Art. 65 Abs. 1 VwVG i.V.m. Art. 110a AsylG abzuweisen ist.</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