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D-2895/2015 vom 17. Februar 2017</w:t>
      </w:r>
    </w:p>
    <w:p>
      <w:r>
        <w:t>Bundesverwaltungsgericht, 2017-02-17, DE</w:t>
      </w:r>
    </w:p>
    <w:p>
      <w:r>
        <w:rPr>
          <w:b/>
        </w:rPr>
        <w:t xml:space="preserve">Quelle: </w:t>
      </w:r>
      <w:r>
        <w:t>https://mcp.opencaselaw.ch/entscheid/bvger_D-2895_2015</w:t>
      </w:r>
    </w:p>
    <w:p>
      <w:r>
        <w:t>FR: TAF D-2895/2015 du 17 février 2017</w:t>
      </w:r>
    </w:p>
    <w:p>
      <w:r>
        <w:t>IT: TAF D-2895/2015 del 17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Prozessgegenstand im vorliegenden Verfahren ist auf die Frage beschränkt, ob der Beschwerdeführer aufgrund subjektiver Nachfluchtgründe im Sinne von Art. 54 AsylG infolge illegaler Ausreise die Flüchtlingseigenschaft erfüllt.</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4</w:t>
      </w:r>
    </w:p>
    <w:p>
      <w:r>
        <w:t>Der Beschwerdeführer lastet dem SEM respektive der sachbearbeitenden Person an, die Verfügung habe nur eine einzige Quelle - einen Entscheid des Bundesverwaltungsgerichts - für die vorgenommene Einschätzung erwähnt. In diesem Zusammenhang gilt es indes festzuhalten, dass eine Offenlegung beziehungsweise eine Auflistung sämtlicher verwendeter Quellen in Verfügungen im Verwaltungsverfahren weder üblich noch erforderlich ist, zumal es sich bei einer Verfügung nicht um eine wissenschaftliche Abhandlung handelt. Die Begründungspflicht dient nicht der Offenlegung von Amtswissen. Sie verlangt vielmehr, dass das Staatssekretariat die wesentlichen Überlegungen nennt, die es dem konkreten Entscheid zugrunde legt, damit der Entscheid sachgerecht angefochten werden kann. Die Beschwerde zeigt denn auch, dass eine sachgerechte Anfechtung - gestützt auf die damals relevante Praxis - möglich war. Der Begründungspflicht ist damit Genüge getan. Im Weiteren ist unbesehen der Frage, inwieweit im Sinne der Beschwerdevorbringen zu weiteren Urteilen des Gerichts überhaupt von einem vergleichbaren Sachverhalt ausgegangen werden kann, ein allfälliger Anspruch auf "Gleichbehandlung" durch die unten erwähnte veränderte Rechtsprechung des Gerichts ohnehin obsolet geworden.</w:t>
      </w:r>
    </w:p>
    <w:p>
      <w:r>
        <w:rPr>
          <w:b/>
        </w:rPr>
        <w:t>E. 5.1</w:t>
      </w:r>
    </w:p>
    <w:p>
      <w:r>
        <w:t>Zur bisherigen Praxis des Bundesverwaltungsgerichts Eritrea - und namentlich auch die illegale Ausreise aus diesem Land betreffend - kann auf das Bundesveraltungsgerichtsurteil D-7898/2015 vom 30. Januar 2017 (zur Publikation als Referenzurteil vorgesehen) verwiesen werden (vgl. E. 4.1 f.).</w:t>
      </w:r>
    </w:p>
    <w:p>
      <w:r>
        <w:rPr>
          <w:b/>
        </w:rPr>
        <w:t>E. 5.2</w:t>
      </w:r>
    </w:p>
    <w:p>
      <w:r>
        <w:t>Im besagten Urteil wurde unter Bezugnahme auf die konsultierten Quellen festgehalten,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5.3</w:t>
      </w:r>
    </w:p>
    <w:p>
      <w:r>
        <w:t>In Anbetracht der geänderten Rechtsprechung kann die Glaubhaftigkeit der illegalen Ausreise vorliegend offen gelassen werden, da solche zusätzlichen Faktoren im Falle des Beschwerdeführers zu verneinen sind. Er hatte vor seiner Ausreise 1994 in Anbetracht seines Alters offensichtlich keinen Behördenkontakt betreffend einen allfälligen Einzug in den eritreischen Nationaldienst, so dass er klarerweise nicht als Deserteur oder Refraktär gelten kann. Andere Anknüpfungspunkte, welche ihn in den Augen des eritreischen Regimes als missliebige Person erscheinen lassen könnten, sind ebenfalls nicht ersichtlich. Dabei kann die Frage der Glaubhaftigkeit der in Eritrea geltend gemachten Verfolgung des Vaters und eines Onkels offen gelassen werden, da auch bei angenommener Wahrheit dieser Vorbringen kein entscheidrelevantes Risikoprofil zu bejahen ist. Eine Auseinandersetzung mit den diesbezüglichen Beschwerdeargumenten erübrigt sich mithin. Der Beschwerdeführer macht geltend, ein Onkel sei wegen der Ausübung des protestantischen Glaubens im Gewahrsam der Sicherheitskräfte ums Leben gekommen, und seinen Vater habe man aus religiösen Gründen ebenfalls verfolgt. Im Zusammenhang mit seinem eigenen religiösen Engagement legte er vorerst dar, protestantischen Glaubens zu sein, diesen aber nicht praktiziert zu haben (vgl. A 5/14 S. 9). Später brachte er vor, im Sudan gemeinsam mit anderen Gläubigen gebetet zu haben (vgl. A 22/15 Antworten 109 ff.). Unbesehen der Frage, ob er im Falle einer Rückkehr nach Eritrea überhaupt versuchen würde, seinen Glauben zu leben, ist in Anbetracht des religiösen Profils nicht mit beachtlicher Wahrscheinlichkeit von einer relevanten Gefährdung auszugehen, zumal er das Land als (...)jähriger verliess, mehr als zwei Jahrzehnte landesabwesend war und entsprechend nicht zu befürchten ist, er stünde wegen der allfälligen Ereignisse in den 90er-Jahren bei der Wiedereinreise entscheidrelevant im Fokus der Sicherheitskräfte. Da der Onkel umgebracht worden und sein Vater, welcher keine besondere religiöse Stellung innegehabt habe, mittlerweile verstorben sei, ist die konkrete Gefahr - etwa auch im Sinne einer Reflexverfolgung wegen Fahndungsbemühungen - umso mehr zu verneinen. Ausserdem machte er kein (exil-)politisches Engagement geltend und liess erkennen, dass er kaum Bezüge zu allfälligen Verwandten vor Ort habe (vgl. A 5/14 S. 5 unten f.; A 22/15 Antworten 109 ff.). Seine Befürchtungen im Falle einer Rückkehr nach Eritrea formulierte er in sehr allgemeiner Form und vermittelte so erneut nicht den Eindruck einer konkreten und flüchtlingsrechtlich relevanten Gefahr im Heimatland (vgl. A 22/15 Antworten 118 f.; A 5/14 S. 10). Somit bleibt festzuhalten, dass allein die illegale Ausreise vorliegend keine Furcht vor einer zukünftigen flüchtlingsrechtlich relevanten Verfolgung zu begründen vermag, da keine zusätzlichen Faktoren für ein Risikoprofil erkennen sind. Wie bereits erwähnt, kann die Frage der Glaubhaftigkeit der illegalen Ausreise mangels Asylrelevanz daher offenbleiben. Nach dem Gesagten erfüllt der Beschwerdeführer die Flüchtlingseigenschaft nicht. Der eingereichte Zeitungsartikel führt offensichtlich ebenfalls nicht zu einer anderen Beurteilung.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jedoch unberührt.</w:t>
      </w:r>
    </w:p>
    <w:p>
      <w:r>
        <w:rPr>
          <w:b/>
        </w:rPr>
        <w:t>E. 7.1</w:t>
      </w:r>
    </w:p>
    <w:p>
      <w:r>
        <w:t>Bei diesem Ausgang des Verfahrens wären die Verfahrenskosten dem Beschwerdeführer aufzuerlegen (Art. 63 Abs. 1 VwVG). Er stellte in seiner Rechtsmitteleingabe vom 6. Mai 2015 jedoch ein Gesuch um unentgeltliche Rechtspflege im Sinne von Art. 65 Abs. 1 VwVG, welches das Gericht am 19. Mai 2015 guthiess. Folglich werden keine Verfahrenskosten erhoben.</w:t>
      </w:r>
    </w:p>
    <w:p>
      <w:r>
        <w:rPr>
          <w:b/>
        </w:rPr>
        <w:t>E. 7.2</w:t>
      </w:r>
    </w:p>
    <w:p>
      <w:r>
        <w:t>Mit Verfügung vom 8. Juni 2015 wurde ausserdem das Gesuch um amtliche Verbeiständung gutgeheissen (Art. 110a Abs. 1 VwVG) und dem Beschwerdeführer seine Rechtsvertreterin als Rechtsbeistand zugeordnet. Die Festsetzung des amtlichen Honorars für die eingesetzte Rechtsbeiständin erfolgt in Anwendung der Art. 8-11 sowie Art. 12 des Reglements vom 21. Februar 2008 über die Kosten und Entschädigungen vor dem Bundesverwaltungsgericht (VGKE, SR 173.320.2). Die Rechtsvertreterin reichte mit Eingabe vom 22. Juni 2015 eine vorläufige Kostennote zu den Akten, welche als abschliessend zu beurteilen ist, da danach keine weiteren Verfahrensschritte erfolgten. Der darin aufgelistete Aufwand ist im Vergleich zu ähnlich gelagerten Fällen und dem Umstand, dass die Mandatierung erst nach Beschwerdeerhebung erfolgte, nicht vollumfänglich angemessen und entsprechend zu kürzen. Nach dem Gesagten sowie gestützt auf die in Betracht zu ziehenden Bemessungsfaktoren (Art. 9 - 13 VGKE) ist der Rechtsvertreterin demnach zulasten der Gerichtskasse des Bundesverwaltungsgerichts ein amtliches Honorar von gerundet Fr. 700.-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