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D-2876/2013 vom 2. Dezember 2013</w:t>
      </w:r>
    </w:p>
    <w:p>
      <w:r>
        <w:t>Bundesverwaltungsgericht, 2013-12-02, DE</w:t>
      </w:r>
    </w:p>
    <w:p>
      <w:r>
        <w:rPr>
          <w:b/>
        </w:rPr>
        <w:t xml:space="preserve">Quelle: </w:t>
      </w:r>
      <w:r>
        <w:t>https://mcp.opencaselaw.ch/entscheid/bvger_D-2876_2013</w:t>
      </w:r>
    </w:p>
    <w:p>
      <w:r>
        <w:t>FR: TAF D-2876/2013 du 2 décembre 2013</w:t>
      </w:r>
    </w:p>
    <w:p>
      <w:r>
        <w:t>IT: TAF D-2876/2013 del 2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(so die ständige Praxis der ehemaligen Schweizerischen Asylrekurskommission [ARK], welche für die Rechtsprechung des Bun-desverwaltungsgerichts einen nach wie vor gültigen Massstab bildet; vgl. etwa Entscheidungen und Mitteilungen der Schweizerischen Asylrekurs-kommission [EMARK] 1996 Nr. 27 E. 3c/aa).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(EMARK 1996 Nr. 28 E. 3a).</w:t>
      </w:r>
    </w:p>
    <w:p>
      <w:r>
        <w:rPr>
          <w:b/>
        </w:rPr>
        <w:t>E. 4.2</w:t>
      </w:r>
    </w:p>
    <w:p>
      <w:r>
        <w:t>Es ist festzustellen, dass die soeben aufgeführten Kriterien der Glaubhaftmachung mit Blick auf die Asylvorbringen des Beschwerdeführers - entgegen der Auffassung der Vorinstanz - als erfüllt zu erachten sind. Die Schilderungen des Beschwerdeführers seiner Bedrohung durch Angehörige der Sicherheitskräfte in seinem Heimatort B._______ zeichnen sich durch einen erheblichen Detailreichtum aus und sind durchgehend lebensnah ausgefallen. Dabei erscheinen die betreffenden Angaben auch kohärent und somit insgesamt plausibel. An dieser Einschätzung vermögen auch jene Aspekte, die durch die Vorinstanz als zweifelhafte Punkte genannt werden, nichts zu ändern. Dabei ist festzuhalten, dass das BFM in der angefochtenen Verfügung selbst einräumt, der Beschwerdeführer habe seine Vorbringen sehr detailreich geschildert. Dieser Feststellung hält das Bundesamt gegenüber, dass der Beschwerdeführer in Bezug auf die genauen Umstände seiner Ausreise aus der Türkei und den Reiseweg nur knappe Angaben gemacht habe. Es ist im vorliegenden Fall nicht nachvollziehbar, inwiefern dies hinsichtlich der zentralen Frage, ob die eigentlichen Asylvorbringen des Beschwerdeführers glaubhaft ausgefallen sind, von Belang sein könnte. Des Weiteren verweist das BFM auf verschiedene Aspekte der Asylvorbringen, die widersprüchlich ausgefallen seien. Diesbezüglich ist festzuhalten, dass es sich dabei um vereinzelte Details handelt (so die Frage, ob dem Beschwerdeführer ein Pistolenlauf in den oder an den Mund gehalten worden sei; ob er durch die Polizei "eine Strasse" oder "Strassen" von zuhause entfernt freigelassen worden sei), welchen angesichts der ansonsten weitgehend widerspruchsfreien Ausführungen offensichtlich keine entscheidrelevante Bedeutung zuzukommen vermag. Es erscheint in unzulässiger Weise selektiv, aufgrund solcher Einzelheiten auf die Unglaubhaftigkeit der Vorbringen als Ganzes zu schliessen, während die sonstigen, überwiegend zugunsten der Glaubhaftigkeit sprechenden Faktoren unberücksichtigt bleiben. Weiter kann auch der Einschätzung nicht gefolgt werden, die Polizei habe gar kein Interesse an der Spitzeltätigkeit des Beschwerdeführers haben können, da dieser selbst gar nicht politisch aktiv gewesen sei. Vielmehr geht aus den Ausführungen des Beschwerdeführers deutlich hervor, dass es seine nahe Verwandtschaft zu politisch aktiven und als solche bekannten Personen gewesen sei, die zu seinen Problemen mit den Sicherheitskräften geführt habe. Es ist nicht zu erkennen, inwiefern dies, wie von der Vorinstanz angenommen, der Logik des Handelns widersprechen und somit unglaubhaft sein sollte.</w:t>
      </w:r>
    </w:p>
    <w:p>
      <w:r>
        <w:rPr>
          <w:b/>
        </w:rPr>
        <w:t>E. 5</w:t>
      </w:r>
    </w:p>
    <w:p>
      <w:r>
        <w:t>In einem weiteren Schritt ist zu beurteilen, ob und inwiefern den als glaubhaft zu erachtenden Erlebnissen des Beschwerdeführers eine asylrechtliche Relevanz zukommt. Im Hinblick darauf besteht im vorliegenden Fall allerdings Anlass zur Frage, ob die Vorinstanz den entscheidwesentlichen Sachverhalt in rechtsgenüglicher Weise abgeklärt hat.</w:t>
      </w:r>
    </w:p>
    <w:p>
      <w:r>
        <w:rPr>
          <w:b/>
        </w:rPr>
        <w:t>E. 5.1</w:t>
      </w:r>
    </w:p>
    <w:p>
      <w:r>
        <w:t>Der Beschwerdeführer hat im Rahmen seiner Anhörungen durch die Vorinstanz wiederholt geäussert, verschiedene Angehörige seiner Familie hätten sich zugunsten kurdischer Interessen aktiv engagiert. So sei ein Onkel Vorsitzender der kurdischen Partei DEHAP beziehungsweise deren Nachfolgeorganisation BDP im Landkreis B._______ gewesen. Ein weiterer Onkel namens D._______ habe sich der "Organisation" angeschlossen und sei in die Berge gegangen, was möglicherweise impliziert, dass der Genannte die PKK im bewaffneten Kampf unterstützte. Zudem geht aus den Angaben des Beschwerdeführers hervor, dass sich im Ferienhaus seiner Familie gelegentlich Angehörige der PKK aufgehalten haben sollen. Im Zentrum der Asylvorbringen des Beschwerdeführers steht ausserdem die Aussage, er sei durch Angehörige der türkischen Sicherheitskräfte mit dem Zweck bedroht worden, ihn zu Spitzeldiensten zu zwingen, wobei er über seinen Vater und seine Onkel D._______ und E._______ ausgefragt worden sei. Des Weiteren seien im Rahmen der Verhaftungen von Angehörigen der KCK mehrere Personen aus dem Umfeld seiner Familie inhaftiert worden. Damit sprach der Beschwerdeführer eine umfangreiche Verhaftungswelle gegen mutmassliche oder angebliche Mitglieder der KCK - einer politischen Organisation im Umfeld der PKK - an, in deren Verlauf seit dem Jahr 2009 in grosser Zahl auch Angehörige legaler kurdischer Parteien und Vereinigungen in der Türkei, Anwälte und Journalisten festgenommen und wegen Unterstützung einer terroristischen Organisation angeklagt wurden (vgl. Human Rights Watch, Turkey: Kurdish Party Members' Trial Violates Rights. Prolonged Detention, Prosecution of Elected Mayors Highlight Terrorism Law Misuse, Presseerklärung vom 18. April 2011).</w:t>
      </w:r>
    </w:p>
    <w:p>
      <w:r>
        <w:rPr>
          <w:b/>
        </w:rPr>
        <w:t>E. 5.2</w:t>
      </w:r>
    </w:p>
    <w:p>
      <w:r>
        <w:t>Diesen Aussagen des Beschwerdeführers steht gegenüber, dass im Rahmen der durchgeführten Anhörungen keinerlei vertiefende Fragen in Bezug auf die Familienangehörigen des Beschwerdeführers gestellt wurden. Dabei wäre es angesichts der erwähnten Aussagen des Beschwerdeführers angezeigt gewesen, insbesondere nach dem politischen Hintergrund der beiden genannten Onkel, aber auch des Vaters und allenfalls weiterer Verwandter zu fragen. So wurde nicht einmal der genaue Namen jenes Onkels erhoben, der Kreisvorsitzender der BDP gewesen sein soll. Indem der Beschwerdeführer ferner zu Protokoll gab, zwei seiner Onkel seien bereits in früheren Jahren in die Schweiz geflohen und ein weiterer Onkel eineinhalb Monate nach ihm selbst, wären ausserdem auch deren Fluchtgründe zu thematisieren gewesen, wobei ihre entsprechenden Asylakten hätten beigezogen werden müssen. Es handelt sich dabei um F._______ [...], D._______ [...] sowie E._______ [...]. Eine summarische Sichtung der Asylverfahrensakten dieser in der Schweiz sich aufhaltenden Onkel des Beschwerdeführers ergibt, dass angesichts des familiären Hintergrunds die Möglichkeit einer Reflexverfolgungsgefahr bezüglich des Beschwerdeführers zumindest nicht von der Hand zu weisen ist und somit gesondert und in vertiefter Weise hätte abgeklärt werden müssen. Indessen wurde dieser Gesichtspunkt in der angefochtenen Verfügung in keiner Weise in Erwägung gezogen.</w:t>
      </w:r>
    </w:p>
    <w:p>
      <w:r>
        <w:rPr>
          <w:b/>
        </w:rPr>
        <w:t>E. 5.3</w:t>
      </w:r>
    </w:p>
    <w:p>
      <w:r>
        <w:t>Somit ist festzustellen, dass der entscheidwesentliche Sachverhalt nicht ausreichend und vollständig abgeklärt wurde und bei der Beurteilung des Asylgesuchs des Beschwerdeführers nicht alle relevanten Aspekte berücksichtigt wurden. Das BFM ist daher aufzufordern, die entsprechenden Massnahmen durchzuführen und gestützt auf deren Ergebnisse das Asylgesuch neu zu beurteilen. Dabei dürften sich die zu klärenden Punkte kaum ohne entsprechende ergänzende Befragung des Beschwerdeführers durch das Bundesamt beantworten lassen. Zu berücksichtigen sind ausserdem die Asylverfahrensakten der erwähnten Onkel des Beschwerdeführers.</w:t>
      </w:r>
    </w:p>
    <w:p>
      <w:r>
        <w:rPr>
          <w:b/>
        </w:rPr>
        <w:t>E. 6</w:t>
      </w:r>
    </w:p>
    <w:p>
      <w:r>
        <w:t>Nach dem Gesagten ist die Beschwerde insofern gutzuheissen, als damit die Aufhebung der angefochtenen Verfügung beantragt wird, und die Sache ist zur erneuten Beurteilung im Sinne der Erwägungen an die Vorinstanz zurückzuweisen.</w:t>
      </w:r>
    </w:p>
    <w:p>
      <w:r>
        <w:rPr>
          <w:b/>
        </w:rPr>
        <w:t>E. 7.1</w:t>
      </w:r>
    </w:p>
    <w:p>
      <w:r>
        <w:t>Bei diesem Ausgang des Verfahrens sind keine Kosten zu erheben (Art. 63 Abs. 3 VwVG i.V.m. Art. 37 VGG). Der mit Zahlung vom 5. Juni 2013 geleistete Kostenvorschuss von Fr. 600.- ist dem Beschwerdeführer zurückzuerstatten.</w:t>
      </w:r>
    </w:p>
    <w:p>
      <w:r>
        <w:rPr>
          <w:b/>
        </w:rPr>
        <w:t>E. 7.2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Gestützt auf die in Betracht zu ziehenden Bemessungsfaktoren (Art. 9-13 VGKE) und die angesichts des Aufwandes als angemessen erscheinende Kostennote des Rechtsvertreters vom 8. November 2013 ist die Parteientschädigung auf Fr. 2 192.- (inkl. Auslagen und Mehrwertsteuer) festzusetzen. Dieser Betrag ist dem Beschwerdeführer durch das BFM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