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D-2874/2017 vom 13. Februar 2020</w:t>
      </w:r>
    </w:p>
    <w:p>
      <w:r>
        <w:t>Bundesverwaltungsgericht, 2020-02-13, DE</w:t>
      </w:r>
    </w:p>
    <w:p>
      <w:r>
        <w:rPr>
          <w:b/>
        </w:rPr>
        <w:t xml:space="preserve">Quelle: </w:t>
      </w:r>
      <w:r>
        <w:t>https://mcp.opencaselaw.ch/entscheid/bvger_D-2874_2017</w:t>
      </w:r>
    </w:p>
    <w:p>
      <w:r>
        <w:t>FR: TAF D-2874/2017 du 13 février 2020</w:t>
      </w:r>
    </w:p>
    <w:p>
      <w:r>
        <w:t>IT: TAF D-2874/2017 del 13 febbraio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Eine der Voraussetzungen von Art. 3 AsylG ist eine gezielt gegen die betroffene Person gerichtete Verfolgung. Dieses Kriterium kann auch bei einer Reflexverfolgung erfüllt sein, das heisst, wenn eine Person Verfolgung ausgesetzt ist, die darauf ausgerichtet ist, eine andere Person zu schädigen oder zu einem Tun oder Unterlassen zu bewegen (vgl. CARONI/ /SCHEIBER/Preisig/Zoeteweij, Migrationsrecht, 4. Aufl. 2018, S. 446). Werden beispielsweise Familienangehörige von politischen Aktivisten staatlichen Repressalien ausgesetzt, spricht man von Reflexverfolgung. Diese kann flüchtlingsrechtlich relevant sein, allerdings hängen die Wahrscheinlichkeit einer Reflexverfolgung und deren Intensität stark von den konkreten Umständen des Einzelfalls ab. Die erlittene Verfolgung beziehungsweise die begründete Furcht vor zukünftiger (Reflex-)Verfolgung muss ferner sachlich und zeitlich kausal für die Ausreise aus dem Heimat- oder Herkunftsstaat und auch im Zeitpunkt des Asylentscheides noch aktuell sein. Dieser Nachweis muss durch die entsprechende Partei erbracht werden (vgl. Urteil des BVGer E-6076/2014 vom 27. Februar 2015 E. 4.3).</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2012/5 E. 2.2).</w:t>
      </w:r>
    </w:p>
    <w:p>
      <w:r>
        <w:rPr>
          <w:b/>
        </w:rPr>
        <w:t>E. 5.1</w:t>
      </w:r>
    </w:p>
    <w:p>
      <w:r>
        <w:t>Nach Durchsicht der Verfahrensakten kommt das Bundesverwaltungsgericht zum Ergebnis, dass es den Vorbringen der Beschwerdeführerin an asylrechtlicher Relevanz fehlt, soweit sie überhaupt als glaubhaft erachtet werden können. Voraussetzung für eine Anerkennung als Flüchtling und die Asylgewährung ist nämlich, dass zwischen der stattgefundenen Verfolgungsmassnahme oder einer anderweitigen Kenntnisnahme einer Verfolgungsgefahr und der Ausreise ein zeitlicher und sachlicher Kausalzusammenhang besteht (vgl. Walter Stöckli, Asyl, in: Ausländerrecht, 2. Aufl. 2009, Rz. 11.17 mit Hinweis auf BVGE 2007/31 E. 5.2).</w:t>
      </w:r>
    </w:p>
    <w:p>
      <w:r>
        <w:rPr>
          <w:b/>
        </w:rPr>
        <w:t>E. 5.2</w:t>
      </w:r>
    </w:p>
    <w:p>
      <w:r>
        <w:t>Zur Frage der Glaubhaftigkeit ist festzuhalten, dass auch das Bundesverwaltungsgericht Zweifel an den von der Beschwerdeführerin behaupteten Haftumständen hat. Dabei ist vorab darauf hinzuweisen, dass für die Beurteilung der Glaubhaftigkeit die von ihr im Rahmen des Asylverfahrens zu Protokoll gegebenen Aussagen massgebend sind. Dabei widersprach sie sich beispielsweise in Bezug auf den Zeitraum der Inhaftierung. In der BzP gab sie zu Protokoll, nach der Mitnahme durch die Soldaten am (...) 2009 sei sie sechs Monate lang inhaftiert gewesen (vgl. act. A3, S. 6). Demgegenüber gab sie in der Anhörung an, sie sei vom (...) 2009 bis zum (...) 2010 in Haft gewesen, was ungefähr vier Monaten entspräche (vgl. act. A20, S. 6). Gleichzeitig sprach sie aber auch in der Anhörung davon, sie sei sechs Monate lang im Gefängnis gewesen (vgl. act. A20, S. 6). Zudem machte sie unterschiedliche Angaben zum Zeitraum zwischen der Mitnahme ihres Ehemannes und der eigenen Festnahme, da sie in der BzP aussagte, vier Monate nach der Mitnahme ihres Ehemannes durch Soldaten seien die Soldaten bei ihr erschienen, um sie festzunehmen (vgl. act. A3, S. 6). In der Anhörung hiess es demgegenüber, der Ehemann sei bis (...) 2009 bei ihnen gewesen, sie sei am (...) 2009 von den Soldaten mitgenommen worden, was einem dreimonatigen Zeitraum entsprechen würde (vgl. act. A20, S. 5, 7). Auch konnte sie die Haftbedingungen sowie den Haftalltag nur unsubstanziiert schildern. Auf Nachfrage brachte sie lediglich vor, sie habe nichts gemacht im Gefängnis, sich nur um ihre Kinder gekümmert. (vgl. act. A20, S. 7). Das Gefängnis vermochte sie nicht genauer zu beschreiben (vgl. act. A20, S. 9). Das Bundesverwaltungsgericht verkennt nicht - worauf die Rechtsvertreterin zutreffend verwies -, dass die Beschwerdeführerin die Wochentage ihrer Haft korrekt benennen konnte mit Donnerstag als Festnahmetag ([...] 2009) und Montag als Entlassungstag ([...] 2010 [vgl. act. A20, S. 9]). Auch ihre Schilderung, von ihr seien im Gegenzug für eine Haftentlassung 50'000 Nakfa gefordert worden (vgl. act. A20, S. 7), entspricht einem möglichen Vorgehen der Regierung. Gemäss verschiedenen Berichten ist nicht ausgeschlossen, dass Familienangehörige von desertierten und illegal ausgereisten Eritreern von den Behörden mit entsprechenden Strafzahlungen konfrontiert werden oder wurden (vgl. Human Rights Watch [HRW], Eritrea: Submission to the Universal Periodic Review, 20.06.2013, http://www.hrw.org/news/2013/06/20/eritrea-submission-universal-periodic-review; Amnesty International, Eritrea: 20 years of Independence, but still no freedom, 09.05.2013, http://www.amnestyusa.org/sites/default/files/afr640012013.pdf; alle abgerufen am 20. Januar 2020). Insofern wäre es wohl möglich, dass von der Beschwerdeführerin als Ehefrau eines Deserteurs eine Zahlung von 50'000 Nakfa gefordert worden sein könnte. Demnach kann auch nicht gänzlich ausgeschlossen werden, dass sie tatsächlich von den eritreischen Behörden kontaktiert und allenfalls kurzzeitig festgehalten worden sein könnte. Dies ändert indessen nichts daran, dass sie die von ihr geschilderte Haft nicht hat glaubhaft machen können.</w:t>
      </w:r>
    </w:p>
    <w:p>
      <w:r>
        <w:rPr>
          <w:b/>
        </w:rPr>
        <w:t>E. 5.3</w:t>
      </w:r>
    </w:p>
    <w:p>
      <w:r>
        <w:t>Selbst wenn die Beschwerdeführerin im Sinne einer Reflexverfolgung im Anschluss an die Ausreise ihres Ehemannes allenfalls kurzzeitig festgehalten worden sein sollte, vermag dies nicht zur Anerkennung als Flüchtling und Asylgewährung zu führen, da die angebliche Inhaftierung im Jahr 2009/2010 nicht mehr als zeitlich kausal für die im Juli 2014 erfolgte Ausreise angesehen werden kann. Wie schon vorstehend erwähnt, ist gemäss Praxis des Bundesverwaltungsgerichts eine bereits erlittene Verfolgung in der Regel dann beachtlich - und kann zu einer begründeten Furcht vor zukünftiger Verfolgung führen -, wenn sie in einem zeitlichen und sachlichen Kausalzusammenhang zur Ausreise steht. Eine starre zeitliche Grenze lässt sich zwar nicht festlegen, es wird aber davon ausgegangen, dass der zeitliche Kausalzusammenhang bei einer Zeitspanne von sechs bis zwölf Monaten als nicht mehr gegeben erachtet wird (vgl. BVGE 2009/51, E. 4.2.5 m.w.H.). Der Unterbruch des Kausalzusammenhanges ist im Falle der Beschwerdeführerin bei einem mehr als vierjährigen Aufenthalt im Heimatstaat nach einer angeblich erlittenen (Reflex-)Verfolgung zu bejahen, nachdem keine besonderen Gründe ersichtlich sind, welche erklären könnten, warum keine frühere Ausreise stattgefunden hat. Allfällige wirtschaftliche Sanktionen wegen der Ausreise des Ehemannes vermögen daran nichts zu ändern. Eine (Reflex-)Verfolgungssituation lag im Zeitpunkt der Ausreise jedenfalls, selbst bei Annahme einer (kurzzeitigen) Inhaftierung nach der Desertion des Ehemannes, nicht mehr vor.</w:t>
      </w:r>
    </w:p>
    <w:p>
      <w:r>
        <w:rPr>
          <w:b/>
        </w:rPr>
        <w:t>E. 5.4</w:t>
      </w:r>
    </w:p>
    <w:p>
      <w:r>
        <w:t>Anzumerken bleibt, dass die auch auf Beschwerdeebene behaupteten (vgl. Beschwerdeverbesserung, S. 3-6) behördlichen Schikanen (Enteignung, Verweigerung der Zuteilung eines neuen Landstückes sowie Entzug subventionierter Lebensmittel), weshalb vor der Ausreise ein asylrelevanter, unerträglicher psychischer Druck vorgelegen habe, nicht zu einem anderen Ergebnis führen. Dies unabhängig davon - was sich aus den Aussagen der Beschwerdeführerin nicht eindeutig ergibt (vgl. act. A20 S. 9) - ob diese Schikanen als Folge des Verhaltens des Ehemannes oder des eigenen Verhaltens der Beschwerdeführerin zu betrachten sind. Damit soll nicht in Zweifel gezogen werden, dass sich die Beschwerdeführerin in einer schwierigen wirtschaftlichen Situation befand. Eingriffe in andere Rechtsgüter als Leib, Leben oder Freiheit gelten aber nur dann als Verfolgung, wenn daraus ein unerträglicher psychischer Druck entsteht, der einen weiteren Verbleib im Heimatstaat für die betroffene Person unzumutbar macht. Ein unerträglicher psychischer Druck im Sinne von Art. 3 AsylG liegt vor,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BVGE 2014/32 E. 7.2, 2013/21 E. 9.1, 2013/12 E. 6, 2013/11 E. 5.4.2, 2011/16 E. 5, jeweils m.w.H.). Ausgangspunkt ist dabei immer ein konkreter Eingriff, der stattgefunden hat oder mit solcher Wahrscheinlichkeit droht, dass die Furcht vor ihm als begründet erscheint, wobei dieser auch hier aus einem der in Art. 3 Abs. 1 AsylG genannten Motive erfolgen muss. Beruht der psychische Druck demnach einzig auf den gesellschaftlichen, wirtschaftlichen oder ähnlichen Gegebenheiten in einem Staat, ist er selbst dann nicht flüchtlingsrechtlich relevant, wenn die Angehörigen bestimmter politischer, religiöser oder ähnlicher Gruppen besonders darunter leiden. Die schwierigen Lebensbedingungen nach der Desertion des Ehemannes, die Enteignung des Landstückes, das Vorenthalten des Bezugs vergünstigter Grundnahrungsmittel sowie die daraus entstandenen psychischen Belastungen vermögen - selbst bei Wahrunterstellung - die Anforderungen an die nötige Intensität von Verfolgungshandlungen insbesondere vor den allgemeinen sozialen und wirtschaftlichen Lebensbedingungen im Heimatstaat der Beschwerdeführerin nicht zu erfüllen. Dies insbesondere auch vor dem Hintergrund, dass die Beschwerdeführerin gemäss eigenen Angaben auf die Unterstützung ihrer Familie zählen konnte (vgl. A20 S.10 zu F83 f.).</w:t>
      </w:r>
    </w:p>
    <w:p>
      <w:r>
        <w:rPr>
          <w:b/>
        </w:rPr>
        <w:t>E. 5.5</w:t>
      </w:r>
    </w:p>
    <w:p>
      <w:r>
        <w:t>Insgesamt ist es der Beschwerdeführerin somit nicht gelungen, eine asylrelevante Verfolgung im Zeitpunkt ihrer Ausreise nachzuweisen oder glaubhaft zu machen respektive darzulegen, dass sie begründete Furcht vor einer zukünftigen Verfolgung hatte.</w:t>
      </w:r>
    </w:p>
    <w:p>
      <w:r>
        <w:rPr>
          <w:b/>
        </w:rPr>
        <w:t>E. 6.1</w:t>
      </w:r>
    </w:p>
    <w:p>
      <w:r>
        <w:t>Es bleibt zu prüfen, ob die Beschwerdeführerin wegen ihrer Ausreise aus Eritrea bei einer Rückkehr dorthin - mithin wegen subjektiver Nachfluchtgründe - befürchten müsste, ernsthaften Nachteilen im Sinne von Art. 3 AsylG ausgesetzt zu sein.</w:t>
      </w:r>
    </w:p>
    <w:p>
      <w:r>
        <w:rPr>
          <w:b/>
        </w:rPr>
        <w:t>E. 6.2</w:t>
      </w:r>
    </w:p>
    <w:p>
      <w:r>
        <w:t>Mit Referenzurteil D-7898/2015 vom 30. Januar 2017 gelangte das Bundesverwaltungsgericht zum Schluss, dass im eritreischen Kontext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w:t>
      </w:r>
    </w:p>
    <w:p>
      <w:r>
        <w:rPr>
          <w:b/>
        </w:rPr>
        <w:t>E. 6.3</w:t>
      </w:r>
    </w:p>
    <w:p>
      <w:r>
        <w:t>Das Vorliegen solcher zusätzlicher Faktoren ist im Falle der Beschwerdeführerin auch unter Berücksichtigung eines möglicherweise vor einigen Jahren erfolgten Behördenkontaktes nach der Ausreise des Ehemannes zu verneinen. Einerseits konnte sie - wie oben ausgeführt - keine asylrelevanten Vorfluchtgründe glaubhaft machen, andererseits sind bei der Aktenlage entgegen der Auffassung der Beschwerdeseite keine anderen Anknüpfungspunkte ersichtlich, welche sie in den Augen des eritreischen Regimes als missliebige Person erscheinen lassen könnte. Daran vermögen auch die von der Beschwerdeführerin geschilderten wirtschaftlichen Benachteiligungen nichts zu ändern.</w:t>
      </w:r>
    </w:p>
    <w:p>
      <w:r>
        <w:rPr>
          <w:b/>
        </w:rPr>
        <w:t>E. 6.4</w:t>
      </w:r>
    </w:p>
    <w:p>
      <w:r>
        <w:t>Ob die Beschwerdeführerin bei einer Rückkehr nach Eritrea mit einem Einzug in den Nationaldienst rechnen müsste, wofür allerdings angesichts ihrer persönlichen Verhältnisse keine Anhaltspunkte bestehen, nachdem sie bis zu ihrer Ausreise nie vorgeladen wurde, kann mangels Asylrelevanz (vgl. Referenzurteil D-7898/2015 vom 30. Januar 2017 E. 5.1) offen bleiben.</w:t>
      </w:r>
    </w:p>
    <w:p>
      <w:r>
        <w:rPr>
          <w:b/>
        </w:rPr>
        <w:t>E. 6.5</w:t>
      </w:r>
    </w:p>
    <w:p>
      <w:r>
        <w:t>Insgesamt ist nicht davon auszugehen, dass die Beschwerdeführerin im Falle der Rückkehr nach Eritrea wegen der geltend gemachten Vorkommnisse in Verbindung mit ihrer illegalen Ausreise als politische Gegnerin des Regimes qualifiziert würde und gezielten staatlichen Verfolgungsmassnahmen ausgesetzt wäre.</w:t>
      </w:r>
    </w:p>
    <w:p>
      <w:r>
        <w:rPr>
          <w:b/>
        </w:rPr>
        <w:t>E. 6.6</w:t>
      </w:r>
    </w:p>
    <w:p>
      <w:r>
        <w:t>Aus diesen Erwägungen folgt, dass die Vorinstanz die Flüchtlingseigenschaft der Beschwerdeführerin zu Recht verneint und ihr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8.2.2</w:t>
      </w:r>
    </w:p>
    <w:p>
      <w:r>
        <w:t>Die von der Beschwerdeführerin aufgeworfene Frage der Zulässigkeit des Wegweisungsvollzugs bei anstehender Einziehung in den eritreischen Nationaldienst ist vom Bundesverwaltungsgericht in einem Grundsatzurteil geklärt worden (vgl. BVGE 2018 VI/4 E. 6.1). Das Gericht hat die Zulässigkeit des Wegweisungsvollzugs im genannten Urteil sowohl unter dem Gesichtspunkt des Zwangsarbeitsverbots (Art. 4 Abs. 2 EMRK) als auch unter jenem des Verbots der Folter und der unmenschlichen und erniedrigenden Behandlung (Art. 3 EMRK) geprüft. 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Darüber hinaus stellte das Bundesverwaltungsgericht fest, dass es im eritreischen Nationaldienst - insbesondere in der Grundausbildung und im militärischen Nationaldienst - zu Misshandlungen und sexuellen Übergriffen komme (vgl. zum Ganzen BVGE 2018 VI/4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entlohnte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zu verneinen (vgl. zum Ganzen BVGE 2018 VI/4 E. 6.1.5.2). Gemäss Praxis des Europäischen Gerichtshofes für Menschenrechte (EGMR) müsste der Beschwerdeführerin mit Blick auf Art. 3 EMRK das ernsthafte Risiko ("real risk") nachweisen, dass ihm im Fall einer Rückschiebung Folter oder unmenschliche Behandlung drohen würde (vgl. EGMR [Grosse Kammer], Saadi gegen Italien, Urteil vom 28. Februar 2008, Nr. 37201/06, §§ 124-127 m.w.H.). Im Grundsatzurteil BVGE 2018 VI/4 führte das Bundesverwaltungsgericht diesbezüglich aus, dass keine hinreichenden Belege dafür existieren, dass Misshandlungen und sexuellen Übergriffe im Nationaldienst derart flächendeckend stattfänden, dass jede Dienstleistende und jeder Dienstleistende dem ernsthaften Risiko ausgesetzt wäre, selbst solche Übergriffe zu erleiden. Es besteht daher kein ernsthaftes Risiko einer Verletzung von Art. 3 EMRK im Falle einer Einziehung in den eritreischen Nationaldienst (a.a.O., E. 6.1.6).</w:t>
      </w:r>
    </w:p>
    <w:p>
      <w:r>
        <w:rPr>
          <w:b/>
        </w:rPr>
        <w:t>E. 8.2.3</w:t>
      </w:r>
    </w:p>
    <w:p>
      <w:r>
        <w:t>Weitere Gründe für die Annahme der Unzulässigkeit des Wegweisungsvollzugs ergeben sich weder aus den Akten noch aus der Beschwerdeschrift. Der Wegweisungsvollzug ist folglich als zulässig zu betrachten.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8.3.2</w:t>
      </w:r>
    </w:p>
    <w:p>
      <w:r>
        <w:t>Der angefochtenen Verfügung ist auch in diesem Punkt im Ergebnis zuzustimmen. Es sind keine Hinweise ersichtlich sind, wonach die Beschwerdeführerin, die über ein grosses familiäres Beziehungsnetz mit den Eltern und Geschwistern im Heimatland verfügt (vgl. act. A20, S. 3), wobei ihre Eltern ihr nach der Ausreise des Ehemannes ein Landstück zum Bewirten zur Verfügung gestellt hätten (vgl. act. A20, S. 10), bei der Rückkehr in eine existenzgefährdende Notlage geraten würde. Es ist davon auszugehen, dass das Land der Eltern sowie die familiäre Hilfe ausgereicht haben, die Beschwerdeführerin und ihre (...) Kinder über mehrere Jahre hinweg zu versorgen. Folglich dürfte es der Beschwerdeführerin auch in Zukunft möglich sein, auf diese Weise ihren Lebensunterhalt zu bestreiten, zumal sie bei der Ausreise finanzielle Unterstützung aus dem Familienkreis erfahren hat (vgl. act. A20, S. 12), auch von ihrem Ehemann aus J._______ (vgl. act. A20, S. 13). Dass sie keinen Kontakt mehr zum Ehemann hat, ist nicht als glaubhaft zu erachten. Der Umstand eines etwaigen Einzugs in den Nationaldienst - von dem ohnehin im Falle der Beschwerdeführerin nicht auszugehen ist - vermöchte keine Unzumutbarkeit zu begründen (vgl. BVGE 2018 VI/4 E. 6.2.4). Gesundheitliche Gründe stehen dem Wegweisungsvollzug nicht entgegen, da die (...) gemäss dem eingereichten Arztbericht behandelt wurde und ausgeheilt ist (vgl. act. A23) und die weiteren, im Arztzeugnis aufgeführten gesundheitliche Beschwerden (die (...) und den (...) betreffend) kein Wegweisungsvollzugshindernis bilden, zumal die aktuelle Therapie der Beschwerdeführerin gemäss dem Arztbericht einfach zu kontrollieren und überall zu gewährleistet werden kann. Vor diesem Hintergrund ist insgesamt nicht davon auszugehen, dass die wirtschaftliche Existenz der Beschwerdeführerin bei ihrer Rückkehr konkret gefährdet ist.</w:t>
      </w:r>
    </w:p>
    <w:p>
      <w:r>
        <w:rPr>
          <w:b/>
        </w:rPr>
        <w:t>E. 8.4</w:t>
      </w:r>
    </w:p>
    <w:p>
      <w:r>
        <w:t>Schliesslich ist darauf hinzuweisen, dass eine zwangsweise Rückführung nach Eritrea zwar derzeit generell nicht möglich ist. Die Möglichkeit der freiwilligen Rückkehr steht jedoch praxisgemäss der Feststellung der Unmöglichkeit des Wegweisungsvollzugs im Sinne von Art. 83 Abs. 2 AIG entgegen. Es obliegt daher dem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deshalb abzuweisen.</w:t>
      </w:r>
    </w:p>
    <w:p>
      <w:r>
        <w:rPr>
          <w:b/>
        </w:rPr>
        <w:t>E. 10</w:t>
      </w:r>
    </w:p>
    <w:p>
      <w:r>
        <w:t>Bei diesem Ausgang des Verfahrens wären die Kosten der Beschwerdeführerin aufzuerlegen (Art. 63 Abs. 1 VwVG). Da ihr jedoch mit Verfügung vom 7. Juni 2017 die unentgeltliche Prozessführung gewährt wurde und seither keine Veränderung der finanziellen Lage ersichtlich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