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D-2872/2019 vom 13. August 2019</w:t>
      </w:r>
    </w:p>
    <w:p>
      <w:r>
        <w:t>Bundesverwaltungsgericht, 2019-08-13, DE</w:t>
      </w:r>
    </w:p>
    <w:p>
      <w:r>
        <w:rPr>
          <w:b/>
        </w:rPr>
        <w:t xml:space="preserve">Quelle: </w:t>
      </w:r>
      <w:r>
        <w:t>https://mcp.opencaselaw.ch/entscheid/bvger_D-2872_2019</w:t>
      </w:r>
    </w:p>
    <w:p>
      <w:r>
        <w:t>FR: TAF D-2872/2019 du 13 août 2019</w:t>
      </w:r>
    </w:p>
    <w:p>
      <w:r>
        <w:t>IT: TAF D-2872/2019 del 13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1.4</w:t>
      </w:r>
    </w:p>
    <w:p>
      <w:r>
        <w:t>Der Antrag des Beschwerdeführers um Fortführung des Beschwerdeverfahrens in französischer Sprache ist abzuweisen. Der vom Beschwerdeführer angerufene Art. 16 Abs. 2 AsylG bezieht sich auf Verfügungen des SEM. Im Beschwerdeverfahren ist gemäss Art. 33a Abs. 2 VwVG die Sprache des angefochtenen Entscheids massgebend (vorliegend: Deutsch). Die Eröffnung eines deutschsprachigen Asylentscheids seitens des SEM nach der Zuweisung des Beschwerdeführers vom BAZ B._______ in den Kanton I._______ ist nicht zu beanstanden (Art. 16 Abs. 3 Bst. c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Vorab ist festzustellen, dass die am 17. April 2019 vom SEM verfügte Zuteilung des Asylgesuchs des Beschwerdeführers in das erweiterte Verfahren gemäss Art. 26d AsylG nicht zu beanstanden ist. Nach der besagten Zuteilung gingen beim SEM drei ärztliche Berichte betreffend den Gesundheitszustand des Beschwerdeführers ein (vgl. Sachverhalt Bst. C.). Im Zeitpunkt des Erlasses der Verfügung erachtete das SEM den Sachverhalt als rechtsgenüglich erstellt. Die Würdigung bildet nunmehr Gegenstand des Beschwerdeverfahrens.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Massgeblich für die Beurteilung der Flüchtlingseigenschaft ist die Situation im Zeitpunkt des Asylentscheids.</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Sachverhaltdarstellung des Gesuchstellenden sprechen, bei einer objektivierten Sichtweise überwiegen oder nicht (vgl. BVGE 2015/3 E. 6.5.1, 2013/11 E. 5.1, 2012/5 E. 2.2).</w:t>
      </w:r>
    </w:p>
    <w:p>
      <w:r>
        <w:rPr>
          <w:b/>
        </w:rPr>
        <w:t>E. 5.1</w:t>
      </w:r>
    </w:p>
    <w:p>
      <w:r>
        <w:t>Das SEM äusserte berechtigterweise Zweifel an der vom Beschwerdeführer geltend gemachten Konversion zum Bahaitum im Iran. Die diesbezüglichen Vorbringen des Beschwerdeführers vermögen den Anforderungen an die Glaubhaftigkeit gemäss Art. 7 AsylG nicht zu genügen. Der Einwand des Beschwerdeführers, nachdem die Konversion seines Neffen D._______ zum Bahaitum im Beschwerdeurteil (...) vom 21. Mai 2019 als glaubhaft erachtet worden sei, seien seine Vorbringen gleich zu beurteilen, da diese mit denjenigen von D._______ identisch seien, vermag nicht zu greifen. Bei D._______ habe der Entschluss, ein Bahai zu werden, den letzten Schritt in einem langen Prozess dargestellt, der mit den ersten Kontakten von D._______ mit Andersgläubigen wie Bahai in E._______ bereits im Jahr 2015 begonnen habe. Der Beschwerdeführer gab hingegen an, sich vor der Offenbarung von D._______ noch nie mit dem Bahaitum befasst und keinerlei Kontakt zu Bahai gehabt zu haben. Diese hätten im Iran einen schlechten Ruf und er sei schockiert gewesen, als er vom Glaubenswechsel von D._______ erfahren habe (vgl. vorinstanzliche Akte A24 S. 10 F80). Zwar mag es durchaus sein, dass der Beschwerdeführer gewisse Zweifel an seiner Religion, dem Islam, gehegt habe (vgl. A24 S. 19 F154), aber dass er nur ein bis zwei Monate, nachdem er von der Konversion von D._______ und damit erstmals konkret vom Bahaitum gehört (vgl. A24 S. 15 F118) und lediglich ein einziges Buch darüber auf seinem Handydisplay gelesen habe (vgl. A24 S. 14 F104 ff.), einen so fundamentalen Schritt unternommen und zu einer Religion konvertiert sei, mit der er sich zuvor noch nie befasst habe und die in seinem Heimatland geächtet werde, vermochte er nicht nachvollziehbar darzulegen. Seine Angaben zur Motivation für den Glaubenswechsel blieben denn auch äusserst vage und unsubstanziiert, gab er doch lediglich an, die Bahai seien einfach generell viel freundlicher und besser als andere Menschen. Der Einwand des Beschwerdeführers, er wäre aus gesundheitlichen Gründen nicht in der Lage, sich nicht selbst Erlebtes zu merken, vermag nicht zu überzeugen. Es darf angenommen werden, dass der Neffe D._______ dem Beschwerdeführer auf der rund neunmonatigen gemeinsamen Reise vom Iran in die Schweiz Entsprechendes berichtet habe. In einer Gesamtbetrachtung vermag das Vorbringen des Beschwerdeführers, er sei im Iran zum Bahaitum konvertiert, nicht zu überzeugen.</w:t>
      </w:r>
    </w:p>
    <w:p>
      <w:r>
        <w:rPr>
          <w:b/>
        </w:rPr>
        <w:t>E. 5.2</w:t>
      </w:r>
    </w:p>
    <w:p>
      <w:r>
        <w:t>Aufgrund der Aktenlage kommt das Bundesverwaltungsgericht indes zum Schluss, dass dem vorliegenden Verfahren im heutigen Zeitpunkt die Entscheidreife abzusprechen ist. Auch wenn die Konversion des Beschwerdeführers zum Bahaitum im Iran nicht geglaubt werden kann, lässt sich die Frage der Gefährdung bei einer Rückkehr des Beschwerdeführers in sein Heimatland gegenwärtig nicht abschliessend beurteilen. Mit Urteil (...) vom 21. Mai 2019 wurde die Abwendung des Neffen D._______ vom Islam und dessen Zuwendung zum Bahaitum grundsätzlich als glaubhaft erachtet, die Sache indes zur Vornahme weiterer Abklärungen betreffend der Zugehörigkeit von D._______ zum Bahaitum im Iran und damit der Frage der Asylrelevanz von dessen Vorbringen an die Vorinstanz zurückgewiesen. Je nach Ergebnis dieser Abklärungen respektive des Ausgangs des Verfahrens von D._______ wird sich die Frage stellen, ob die Situation von D._______ geeignet sein könnte, eine Gefährdung des Beschwerdeführers als Verwandtem von D._______ und mit diesem aus dem Iran Ausgereistem zu bewirken. Eine koordinierte Behandlung des Verfahrens des Beschwerdeführers mit demjenigen des Neffen D._______ erscheint daher als notwendig. Erkenntnisse aus dem Verfahren des Neffen D._______ sind im Verfahren des Beschwerdeführers zu berücksichtigen. Es ist daher angezeigt, die vorliegende Sache zur Neubeurteilung und koordinierten Behandlung mit dem erstinstanzlich hängigen Asylverfahren des Neffen D._______ (...) an das SEM zurückzuweisen.</w:t>
      </w:r>
    </w:p>
    <w:p>
      <w:r>
        <w:rPr>
          <w:b/>
        </w:rPr>
        <w:t>E. 6</w:t>
      </w:r>
    </w:p>
    <w:p>
      <w:r>
        <w:t>Nach dem Gesagten ist die Beschwerde insoweit gutzuheissen, als die Aufhebung der vorinstanzlichen Verfügung und die Rückweisung der Sache beantragt wird. Die Verfügung vom 10. Mai 2019 ist aufzuheben und die Sache zur Neubeurteilung im Sinne der Erwägungen an die Vorinstanz zurückzuweisen. Angesichts dieses Verfahrensausgangs erübrigt es sich, auf die weiteren Beschwerdevorbringen vorliegend näher einzugehen.</w:t>
      </w:r>
    </w:p>
    <w:p>
      <w:r>
        <w:rPr>
          <w:b/>
        </w:rPr>
        <w:t>E. 7</w:t>
      </w:r>
    </w:p>
    <w:p>
      <w:r>
        <w:t>Bei diesem Ausgang des Verfahrens sind keine Kosten zu erheben (Art. 63 Abs. 1 und 2 VwVG).</w:t>
      </w:r>
    </w:p>
    <w:p>
      <w:r>
        <w:rPr>
          <w:b/>
        </w:rPr>
        <w:t>E. 8</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im Zusammenhang mit dem Beschwerdeverfahren notwendigerweise erwachsenen Parteikosten zuzusprechen. Die Rechtsvertretung reichte zwei Kostennoten vom 11. Juni 2019 und 26. Juli 2019 ein. Diese erscheinen nicht vollumfänglich angemessen. Insbesondere die mehrseitige Wiedergabe des Urteils (...) erweist sich als unnötiger Aufwand. Ebenso ist zu berücksichtigen, dass sich die Rechtsvertreterin am erwähnten Beschwerdeverfahren von D._______ orientieren konnte, zumal sie über die entsprechenden Akten betreffend D._______ (vgl. Beschwerdebeilagen [Verfügung des SEM, Beschwerde sowie Urteil]) verfügte. Insgesamt erscheint ein zeitlicher Aufwand von 10 Stunden angemessen (Stundenansatz Fr. 220.-, Auslagen Fr. 45.10; nicht der MwSt unterliegend). Die von der Vorinstanz auszurichtende Parteientschädigung ist demnach auf insgesamt Fr. 2'245.10 festzusetzen. Damit wird die Ausrichtung eines amtlichen Honorars an die Rechtsvertretung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