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D-286/2020 vom 5. März 2020</w:t>
      </w:r>
    </w:p>
    <w:p>
      <w:r>
        <w:t>Bundesverwaltungsgericht, 2020-03-05, DE</w:t>
      </w:r>
    </w:p>
    <w:p>
      <w:r>
        <w:rPr>
          <w:b/>
        </w:rPr>
        <w:t xml:space="preserve">Quelle: </w:t>
      </w:r>
      <w:r>
        <w:t>https://mcp.opencaselaw.ch/entscheid/bvger_D-286_2020</w:t>
      </w:r>
    </w:p>
    <w:p>
      <w:r>
        <w:t>FR: TAF D-286/2020 du 5 mars 2020</w:t>
      </w:r>
    </w:p>
    <w:p>
      <w:r>
        <w:t>IT: TAF D-286/2020 del 5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 seine Furcht vor Verfolgung in der Beschwerde damit, er befürchte, von der ORLF in asylrelevanter Weise verfolgt zu werden, da diese Kenntnis davon erlangt habe, dass er sie (an die Liyu Police) verraten beziehungsweise geheime Standorte der ONLF preisgegeben habe.</w:t>
      </w:r>
    </w:p>
    <w:p>
      <w:r>
        <w:rPr>
          <w:b/>
        </w:rPr>
        <w:t>E. 5.2</w:t>
      </w:r>
    </w:p>
    <w:p>
      <w:r>
        <w:t>Die vorinstanzliche Einschätzung, wonach keine rechtsgenüglichen Hinweise dafür bestehen, dass die ONLF vom Verrat des Beschwerdeführers erfahren haben könnte, erweist sich indessen als zutreffend. Zwar hat der Beschwerdeführer am Ende der Anhörung erklärt, die Parteimänner hätten mitbekommen, dass er alles erzählt habe (vgl. SEM-act. A20/19 S. 17). Letztere Aussage ist jedoch isoliert von seinen Vorbringen ganz am Ende der Anhörung gefallen und ist weder in der BzP noch im freien Bericht oder sonst in der Anhörung gemacht worden. Im Weiteren ist dem SEM auch darin zuzustimmen, dass der Beschwerdeführer im Rahmen des erstinstanzlichen Verfahrens nicht präzisiert hat, wie die ONLF von seinem Verrat erfahren haben soll. Ferner fällt auf, dass er in der BzP ausgesagt hat, nebst der Mitnahme im Jahr 2015 nie Probleme mit der ONLF gehabt zu haben (vgl. SEM-act. A6/14 S. 9), und er in der Anhörung darauf hingewiesen hat, vor seiner Ausreise nur seitens der Liyu Police gesucht worden zu sein (vgl. SEM-act. A20/19 S. 13). All dies deutet im Ergebnis darauf hin, dass die ONLF - Glaubhaftigkeit seiner diesbezüglichen Vorbringen vor-ausgesetzt - keine Kenntnis davon hatte, dass der Beschwerdeführer der Liyu Police Verstecke der ONLF bekanntgegeben hat, ansonsten er diesen zentralen Punkt wohl sowohl in der BzP als auch im Rahmen seiner freien Ausführungen bei der Anhörung von sich auch geltend gemacht hätte. Der Beschwerdeführer hält diesem Standpunkt in der Beschwerde zwar entgegen, es sei für ihn klar, dass die ONLF ihn als Verräter vermute, da zwischen seiner Freilassung durch die ONLF und seinem Verrat ihres Stützpunktes in H._______ nur eine Woche verstrichen sei (vgl. a.a.O. S. 2 Abs. 1). Es handelt sich hierbei indessen um eine blosse Mutmassung seinerseits, welche als solche nicht geeignet ist, eine künftige Furcht vor Verfolgung durch die ONLF als begründet erscheinen zu lassen. Dies nicht zuletzt auch deshalb, weil bei objektiver Betrachtung der Situation seitens des Beschwerdeführers nach seiner Festnahme durch die Liyu Police keine Notwendigkeit dafür bestanden hat, der Polizei von sich aus sämtliche Einzelheiten über seinen viermonatigen Aufenthalt bei der ONLF zu erzählen, zumal er die Todesdrohungen der ONLF wohl ernstnehmen musste. Darüber hinaus hat sein offenes Verhalten der Liyu Police gegenüber ja gerade dazu geführt, dass diese sich in ihrem Verdacht bestärkt gefühlt hat, dass er selber Mitglied der ONLF sei (vgl. SEM-act. A20/19 S. 8 F43). Der latente Vorwurf in der Beschwerde, der Sachbearbeiter hätte ihm bei der Anhörung auch Zusatzfragen im Zusammenhang mit der drohenden Verfolgung durch die ONLF wegen seines Verrats stellen können (vgl. a.a.O. S. 2 Abs. 1), ist unberechtigt. Angesichts der Tatsache, dass es sich hierbei - wie bereits vorstehend ausgeführt - um ein zentrales Element seiner Fluchtgeschichte handelt, wäre vom Beschwerdeführers, nicht zuletzt auch vor dem Hintergrund seines freien Vortrags über weite Teile seiner Verfolgungsgeschichte hinweg (vgl. SEM-act. A20/19 S. 5-9 F41-43), ohne Weiteres zu erwarten gewesen, dass er diesen Punkt im Rahmen der ihm obliegenden Wahrheits- und Mitwirkungspflicht von sich aus erzählt hätte. Dass er dies nicht tat, verstärkt die Einschätzung, dass ein effektiver Verdacht der ONLF seiner Person gegenüber gar nie im Raum gestanden hat.</w:t>
      </w:r>
    </w:p>
    <w:p>
      <w:r>
        <w:rPr>
          <w:b/>
        </w:rPr>
        <w:t>E. 5.3</w:t>
      </w:r>
    </w:p>
    <w:p>
      <w:r>
        <w:t>Zusammenfassend ist deshalb festzuhalten, dass es dem Beschwerdeführer nicht gelungen ist, eine asylrelevante Verfolgung nachzuweisen beziehungsweise glaubhaft zu machen. Das SEM hat zutreffend festgestellt, der Beschwerdeführer erfülle die Flüchtlingseigenschaft nicht und sein Asylgesuch zu Recht abgelehnt. Nach dem Gesagten bestand für die Vorinstanz auch keine Veranlassung, in Bezug auf das Vorliegen einer Verfolgungssituation weitere Abklärungen vorzunehmen, weshalb der entsprechende Kassationsantrag (vgl. Rechtsbegehren Ziff. 3) abzuweisen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Das SEM begründete seine Verfügung damit, dass der Wegweisungsvollzug nach Äthiopien grundsätzlich zumutbar sei und den Akten keine individuellen Gründe, welche der Zumutbarkeit entgegenstünden, zu entnehmen seien. Der Beschwerdeführer sei ein junger und gesunder Mann, sei acht Jahre zur Schule gegangen und habe vier Jahre im familieneigenen Laden gearbeitet. Er verfüge somit über eine Grundschulausbildung und über Arbeitserfahrung in seinem Heimatland. Zudem besitze seine Familie, welche (...) seien, Vieh und eine (...) und habe damit ihren Lebensunterhalt bestreiten können. Weiter würden seine Eltern immer noch in der Umgebung von C._______ leben. Nebst seinen Eltern lebten dort noch zusätzlich noch sechs erwachsene Geschwister sowie vier Halbgeschwister. Eigenen Angaben des Beschwerdeführers zufolge sei der Kontakt zu seiner Familie auch nach seiner Ausreise nicht erloschen und somit intakt. Demzufolge seien sowohl sein Lebensunterhalt, seine Wohnsituation und auch sein soziales Netzwerk als gesichert zu betrachten, weshalb er in Zukunft in keine existenzbedrohende Situation geraten sollte.</w:t>
      </w:r>
    </w:p>
    <w:p>
      <w:r>
        <w:rPr>
          <w:b/>
        </w:rPr>
        <w:t>E. 7.6</w:t>
      </w:r>
    </w:p>
    <w:p>
      <w:r>
        <w:t>In der Beschwerde wird demgegenüber geltend gemacht, es gehe ihm gesundheitlich nicht gut. Zwar funktioniere sein Körper einwandfrei, aber seine Psyche bereite ihm grosse Probleme, da er in Äthiopien sowohl durch Angehörige der ONLF als auch der Liyu Police misshandelt und intensiv gefoltert worden sei. Diese Erlebnisse würden ihn nicht mehr loslassen. Als Folge hiervon schlafe er schlecht, sehe immer wieder dieselben Bilder vor seinem inneren Auge, sei schreckhaft und leide unter Konzentrationsproblemen und Vergesslichkeit. Er habe sich deswegen am 13. Januar 2020 an seinen Hausarzt Dr. med. I._______ gewendet. Dieser habe ihm eine Psychotherapie empfohlen. Er werde den diesbezüglichen Therapiebericht so schnell wie möglich nachreichen. Eine entsprechende psychiatrische Versorgung sei namentlich im ländlichen Äthiopien sehr schlecht. In seinem Dorf gebe es keine Ärzte. Er müsste somit dafür eine weite Reise auf sich nehmen, die er gar nicht bezahlen könnte.</w:t>
      </w:r>
    </w:p>
    <w:p>
      <w:r>
        <w:rPr>
          <w:b/>
        </w:rPr>
        <w:t>E. 7.7</w:t>
      </w:r>
    </w:p>
    <w:p>
      <w:r>
        <w:t>Diesbezüglich ist festzuhalten, dass angesichts des Umstands, dass sich der Beschwerdeführer erst jetzt, also mehr als drei Jahre nach Einreichung seines Asylgesuchs in der Schweiz, um eine Psychotherapie bemüht, kein Grund zur Annahme besteht, es liege hinsichtlich seiner Person eine ernsthafte Beeinträchtigung seines psychischen Gesundheitszustandes vor. Vor diesem Hintergrund sind im vorliegenden Fall auch vom medizinischen Standpunkt aus gesehen keine gegen die Zumutbarkeit des Wegweisungsvollzugs sprechende Aspekte erkennbar.</w:t>
      </w:r>
    </w:p>
    <w:p>
      <w:r>
        <w:rPr>
          <w:b/>
        </w:rPr>
        <w:t>E. 7.8</w:t>
      </w:r>
    </w:p>
    <w:p>
      <w:r>
        <w:t>Das Bundesverwaltungsgericht geht sodann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E-6870/2019 vom 20. Januar 2020 E. 9.7; D-2352/2018 vom 13. Februar 2020 E. 6.1.1). Individuelle Gründe, welche gegen die Zumutbarkeit des Wegweisungsvollzug sprechen könnten, sind keine ersichtlich. Diesbezüglich kann zur Vermeidung von Wiederholungen auf die Ausführungen in E. 7-5-7.7 vorstehend verwiesen werden. Vor diesem Hintergrund erweist sich der Vollzug der Wegweisung nicht als unzumutbar.</w:t>
      </w:r>
    </w:p>
    <w:p>
      <w:r>
        <w:rPr>
          <w:b/>
        </w:rPr>
        <w:t>E. 7.9</w:t>
      </w:r>
    </w:p>
    <w:p>
      <w:r>
        <w:t>Schliesslich obliegt es dem Beschwerdeführer, sich bei der zuständigen Vertretung seines Heimatlandes die für eine Rückkehr notwendigen Reisedokumente zu beschaffen, weshalb der Vollzug der Wegweisung auch als möglich zu bezeichnen ist (Art. 83 Abs. 2 AIG).</w:t>
      </w:r>
    </w:p>
    <w:p>
      <w:r>
        <w:rPr>
          <w:b/>
        </w:rPr>
        <w:t>E. 7.10</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Dabei ist zur Bezahlung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