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D-2849/2012 vom 1. Juni 2012</w:t>
      </w:r>
    </w:p>
    <w:p>
      <w:r>
        <w:t>Bundesverwaltungsgericht, 2012-06-01, DE</w:t>
      </w:r>
    </w:p>
    <w:p>
      <w:r>
        <w:rPr>
          <w:b/>
        </w:rPr>
        <w:t xml:space="preserve">Quelle: </w:t>
      </w:r>
      <w:r>
        <w:t>https://mcp.opencaselaw.ch/entscheid/bvger_D-2849_2012</w:t>
      </w:r>
    </w:p>
    <w:p>
      <w:r>
        <w:t>FR: TAF D-2849/2012 du 1 juin 2012</w:t>
      </w:r>
    </w:p>
    <w:p>
      <w:r>
        <w:t>IT: TAF D-2849/2012 del 1 giugno 2012</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BFM, ausser - was vorliegend nicht der Fall ist - bei Vorliegen eines Auslieferungsgesuches des Staates, vor welchem die beschwerdeführende Person Schutz sucht (vgl. dazu Art. 105 AsylG i.V.m. Art. 31 und 33 VGG sowie Art. 83 Bst. d Ziff. 1 BGG). Im Rahmen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 Mit der Überweisung der Eingabe vom 23. Mai 2012 an die Abteilung hat Richter Fulvio Haefeli das Bestehen eines Ausstandsgrundes implizit bestritten.</w:t>
      </w:r>
    </w:p>
    <w:p>
      <w:r>
        <w:rPr>
          <w:b/>
        </w:rPr>
        <w:t>E. 1.3</w:t>
      </w:r>
    </w:p>
    <w:p>
      <w:r>
        <w:t>Will eine Partei den Ausstand einer Gerichtsperson verlangen, so hat sie dem Gericht ein schriftliches Begehren einzureichen, sobald sie vom Ausstandsgrund Kenntnis erhalten hat (Art. 36 Abs. 1 BGG [erster Satz]). In der Gesuchseingabe vom 23. Mai 2012 wird auf die von Richter Fulvio Haefeli erlassene Verfügung vom 22. Mai 2012 abgestellt. Das Ausstandsbegehren erfolgte in der zu beachtenden Form sowie innert nützlicher Frist, nämlich noch am Tag der Eröffnung der erwähnten Zwischenverfügung. Der Gesuchsteller ist im Beschwerdeverfahren D-2647/2012 Partei und damit zur Einreichung des Ausstandsbegehrens legitimiert. Damit sind die formellen Anforderungen an ein Ausstandsbegehren erfüllt, weshalb auf das Gesuch einzutreten ist.</w:t>
      </w:r>
    </w:p>
    <w:p>
      <w:r>
        <w:rPr>
          <w:b/>
        </w:rPr>
        <w:t>E. 2.1</w:t>
      </w:r>
    </w:p>
    <w:p>
      <w:r>
        <w:t>Die Ausstandsregelung von Art. 34 ff. BGG gewährleistet den in Art. 30 Abs. 1 der Bundesverfassung der Schweizerischen Eidgenossen­schaft vom 18. April 1999 (BV, SR 101) und in Art. 6 Ziff. 1 der Konvention vom 4. November 1950 zum Schutze der Menschenrechte und Grundfreiheiten (EMRK, SR 0.101)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2.2</w:t>
      </w:r>
    </w:p>
    <w:p>
      <w:r>
        <w:t>Von den in Art. 34 aufgezählten Gründen, welche zu einem Ausstand führen, kommt keiner der in Art. 34 Abs. 1 Bst. a - d BGG erwähnten Spezialtatbestände in Frage, sondern einzig die Auffangbestimmung von Art. 34 Abs. 1 Bst. e BGG, auf welche sich der Gesuchsteller denn auch beruft.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Basel 2008, Art. 34, N. 6, 16 und 17).</w:t>
      </w:r>
    </w:p>
    <w:p>
      <w:r>
        <w:rPr>
          <w:b/>
        </w:rPr>
        <w:t>E. 2.3</w:t>
      </w:r>
    </w:p>
    <w:p>
      <w:r>
        <w:t>Unter den Anwendungsbereich von Art. 34 Abs. 1 Bst. e BGG fällt unter anderem auch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Frage -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Entscheidungen und Mitteilungen der Schweizerischen Asylre­kurskommission [EMARK] 2003 Nr. 26 E. 3a-f).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S. 119).</w:t>
      </w:r>
    </w:p>
    <w:p>
      <w:r>
        <w:rPr>
          <w:b/>
        </w:rPr>
        <w:t>E. 2.4</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 1.1, mit Hinweisen).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w:t>
      </w:r>
    </w:p>
    <w:p>
      <w:r>
        <w:rPr>
          <w:b/>
        </w:rPr>
        <w:t>E. 3.1</w:t>
      </w:r>
    </w:p>
    <w:p>
      <w:r>
        <w:t>Der Gesuchsteller hält in seiner Eingabe dem wesentlichen Sinngehalt nach dafür, Richter Fulvio Haefeli hätte aufgrund der Aktenlage sein Gesuch um Erlass der Verfahrenskosten (im Sinne von Art. 65 Abs.1 VwVG) nicht abweisen dürfen, zumal der Instruktionsrichter in der Zwischenverfügung vom 22. Mai 2012 vom Vorliegen einer heilungsbedürftigen Gehörsrechtsverletzung ausgehe, womit seine Beschwerdebegehren auf keinen Fall aussichtslos sein könnten. Mit der Abweisung des Gesuches um Erlass der Verfahrenskosten habe sich daher der Instruktionsrichter in einer Weise festgelegt, welche den Ausgang der Hauptsache als bereits vorbestimmt erscheinen lasse. Diese Vorbringen können indes aufgrund der vorliegenden Akten nicht überzeugen.</w:t>
      </w:r>
    </w:p>
    <w:p>
      <w:r>
        <w:rPr>
          <w:b/>
        </w:rPr>
        <w:t>E. 3.2</w:t>
      </w:r>
    </w:p>
    <w:p>
      <w:r>
        <w:t>Aus der Zwischenverfügung vom 22. Mai 2012 geht hervor, dass vom Instruktionsrichter eine summarische Würdigung der verschiedenen Beschwerdeanträge einzeln vorgenommen wurde. Während die formellen Beschwerdeanträge - Verletzung des rechtlichen Gehörs - offenbar als aussichtsreich qualifiziert wurden, geht er aufgrund einer Gesamtwürdigung der aktuellen Aktenlage und mit Verweis auf die Heilungsmöglichkeit der Verletzung des rechtlichen Gehörs auf Beschwerdeebene in materieller Hinsicht von aussichtslosen Beschwerdeanträgen aus. Sinngemäss wird damit das Gesuch um unentgeltliche Rechtspflege teilweise (bezüglich der materiellen Beschwerdeanträge) abgewiesen. Bezüglich der materiellen Verfahrensanträge geht der Instruktionsrichter sodann von einer mutwilligen Prozessführung aus, was den potentiellen Verfahrenskostenanteil auf Fr. 1200.- erhöhe. An dieser Stelle sei erwähnt, dass bei mehrfachen Asylgesuchen und mutwilliger Prozessführung praxisgemäss Verfahrenskosten von Fr. 2400.- auferlegt werden können. Selbst wenn sich eine solche differenzierte Betrachtung der einzelnen Verfahrensanträge bei der Beurteilung der Beschwerde auf deren Aussichtslosigkeit als unsachgemäss erweisen würde, beziehungsweis - wie dies der Gesuchsteller zu vertreten scheint - eine Beschwerde stets gesamthaft als aussichtslos zu qualifizieren sein müsste, um die Gewährung der unentgeltlichen Rechtspflege abweisen zu können, wäre dies kein Ausstandsgrund. Allein eine möglicherweise fehlerhafte Prozesshandlung begründet noch keinen Anschein der Voreingenommenheit, dies würde vielmehr einen besonders schweren Fehler im Verfahren oder bei der rechtlichen Beurteilung bedingen. Von einer solchen schwerwiegenden Pflichtverletzung, die zu einer Voreingenommenheit zu führen vermöchte, kann unter den gegebenen Umständen jedoch offensichtlich nicht die Rede sein (vgl. dazu auch vorstehend E. 2.4).</w:t>
      </w:r>
    </w:p>
    <w:p>
      <w:r>
        <w:rPr>
          <w:b/>
        </w:rPr>
        <w:t>E. 3.3</w:t>
      </w:r>
    </w:p>
    <w:p>
      <w:r>
        <w:t>Die geltend gemachte Vorbestimmung der Sache erscheint umso weniger plausibel gemacht, als dem Gesuchsteller mit der Zwischenverfügung vom 22. Mai 2012 die Möglichkeit eingeräumt wurde, bis zum 6. Juni 2012 - und damit innert der laufenden Kostenvorschussfrist - eine Beschwerdeergänzung nachzureichen. Dem Gesuchsteller steht es demnach frei, seine bisherigen Beschwerdevorbringen noch vor Ablauf der Kostenvorschussfrist zu ergänzen, was vom Gericht zu würdigen sein wird.</w:t>
      </w:r>
    </w:p>
    <w:p>
      <w:r>
        <w:rPr>
          <w:b/>
        </w:rPr>
        <w:t>E. 3.4</w:t>
      </w:r>
    </w:p>
    <w:p>
      <w:r>
        <w:t>Auch aus der sprachlichen Formulierung in der Zwischenverfügung vom 22. Mai 2012 ergeben sich keine Hinweise darauf, dass der Instruktionsrichter nicht einer objektiven Abwägung der Gewinn- und Verlustchancen gefolgt wäre. Die Erwägungen sind insofern hinreichend offen formuliert, als nicht zu erkennen wäre, dass Richter Fulvio Haefeli im Rahmen des Hauptverfahrens nicht gewillt sein sollte, sich mit den vom Gesuchsteller aufgeworfenen Fragen vertieft auseinanderzusetzen und seine Position als Folge einer vertieften Würdigung der dann bestehenden Akten - namentlich auch der in Aussicht gestellten Beschwerdeergänzung - gegebenenfalls zu revidieren. Auch ein Absehen vom einverlangten Kostenvorschuss ist nicht ausgeschlossen worden, zumal der Gesuchsteller - wie erwähnt - innert der angesetzten Zahlungsfrist ja die in Aussicht gestellte Beschwerdeergänzung nachreichen kann. Objektive Gründe zur Annahme einer Befangenheit von Richter Fulvio Haefeli sind somit auch von daher nicht ersichtlich.</w:t>
      </w:r>
    </w:p>
    <w:p>
      <w:r>
        <w:rPr>
          <w:b/>
        </w:rPr>
        <w:t>E. 4</w:t>
      </w:r>
    </w:p>
    <w:p>
      <w:r>
        <w:t>Nach vorstehenden Erwägungen sind keine objektiven Gründe ersicht­lich gemacht, welche im Verfahren D-2647/2012 für eine Befangenheit von Richter Fulvio Haefeli sprechen würden. Bei dieser Sachlage ist das Ausstandsbegehren abzuweisen, womit im Rahmen des vorliegenden Verfahrens kein Anlass besteht, dem Antrag um Aufhebung der Zwischenverfügung vom 22. Mai 2012 Folge zu leisten (vgl. dazu Art. 38 VGG i.V.m. Art. 38 Abs. 1 BGG). Die Akten sind zur Weiterführung des Verfahrens D-2647/2012 an den zuständigen Instruktionsrichter zu überweisen.</w:t>
      </w:r>
    </w:p>
    <w:p>
      <w:r>
        <w:rPr>
          <w:b/>
        </w:rPr>
        <w:t>E. 5.1</w:t>
      </w:r>
    </w:p>
    <w:p>
      <w:r>
        <w:t>Der Gesuchsteller hat auch im vorliegenden Ausstandsverfahren um Gewährung der unentgeltlichen Rechtspflege im Sinne Art. 65 Abs. 1 und 2 VwVG ersucht. Vor dem Hintergrund der vorstehenden Erwägungen muss die Sache jedoch als aussichtslos bezeichnet werden, weshalb das Gesuch abzuweisen ist. Dem Gesuchsteller sind bei dieser Sachlage die Kosten des Verfahrens aufzuerlegen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