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D-2847/2010 vom 2. März 2012</w:t>
      </w:r>
    </w:p>
    <w:p>
      <w:r>
        <w:t>Bundesverwaltungsgericht, 2012-03-02, DE</w:t>
      </w:r>
    </w:p>
    <w:p>
      <w:r>
        <w:rPr>
          <w:b/>
        </w:rPr>
        <w:t xml:space="preserve">Quelle: </w:t>
      </w:r>
      <w:r>
        <w:t>https://mcp.opencaselaw.ch/entscheid/bvger_D-2847_2010</w:t>
      </w:r>
    </w:p>
    <w:p>
      <w:r>
        <w:t>FR: TAF D-2847/2010 du 2 mars 2012</w:t>
      </w:r>
    </w:p>
    <w:p>
      <w:r>
        <w:t>IT: TAF D-2847/2010 del 2 marzo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5.1</w:t>
      </w:r>
    </w:p>
    <w:p>
      <w:r>
        <w:t>Gemäss Praxis des Bundesverwaltungsgerichts ist die asylsuchende Person im Auslandverfahren in der Regel zu befragen. Für die erforderli­chen Verfahrensumstände bei Abweichung von dieser Regel ist auf Bst. H. vorstehend zu verweisen (vgl. wiederum BVGE 2007/30 E. 5 S. 362 ff.).</w:t>
      </w:r>
    </w:p>
    <w:p>
      <w:r>
        <w:rPr>
          <w:b/>
        </w:rPr>
        <w:t>E. 5.2</w:t>
      </w:r>
    </w:p>
    <w:p>
      <w:r>
        <w:t>Das BFM ging davon aus, der Sachverhalt sei aufgrund der schriftli­chen Eingaben entscheidreif erstellt. Diese Sichtweise ist nunmehr vertret­bar, sind doch die Eingaben vom 4. April 2006, 29. Mai 2006, 13. Ja­nuar 2008 sowie 31. Juli 2009 insgesamt detailliert und klar formuliert. Unter diesen Umständen erübrigte sich für die Vorinstanz die Aufbietung des Beschwerdeführers zu einer Befragung. Abgesehen davon legte er selbst dar, er könne zu einer solchen gar nicht erscheinen. Da den vom Bun­desverwaltungsgericht ferner aufgeführten Erfordernissen (Gewäh­rung des rechtlichen Gehörs, Begründung des Verzichts auf die Befra­gung) ebenfalls Rechnung getragen wurde, ist die Vorgehensweise des BFM nicht mehr zu beanstanden.</w:t>
      </w:r>
    </w:p>
    <w:p>
      <w:r>
        <w:rPr>
          <w:b/>
        </w:rPr>
        <w:t>E. 6.1</w:t>
      </w:r>
    </w:p>
    <w:p>
      <w:r>
        <w:t>Das Bundesverwaltungs­gericht hat sich im zur Publikation vorgesehenen Urteil E-6220/2006 vom 27. Oktober 2011 einge­hend mit der Situation in Sri Lanka befasst und seine Praxis aktuali­siert. Es kam zum Schluss, dass sich die Situation vor Ort insgesamt verbes­sert habe, wobei es aber zahlrei­che Einschränkungen formulierte. Oppositionelle müssten nach wie vor mit Verfolgung rechnen. Es gebe ver­schiedene Risikogruppen. Dar­unter fielen Personen, welche auch nach Beendigung des Krie­ges ver­dächtigt würden, mit den LTTE in Verbin­dung zu stehen beziehungs­weise gestanden zu sein. Auch unabhän­gige Journalisten beziehungs­weise regierungskritische Medien­schaffende hätten ein erhöhtes Risikopro­fil. Im Weiteren sei bei Opfern und Zeugen von Menschenrechts­verletzungen und Personen, die entspre­chende Über­griffe behördlich angezeigt hätten, mit erhöhter Verfol­gungsgefahr zu rech­nen. Wegen drohender Erpressung, Kidnap­ping und anderen Verfolgungshandlungen bildeten schliesslich Personen, welche über be­trächtliche finanzielle Mittel verfügten, eine weitere Risikogruppe (a.a.O. insb. E. 8.).</w:t>
      </w:r>
    </w:p>
    <w:p>
      <w:r>
        <w:rPr>
          <w:b/>
        </w:rPr>
        <w:t>E. 6.2</w:t>
      </w:r>
    </w:p>
    <w:p>
      <w:r>
        <w:t>Das BFM hat die vom Beschwerdeführer vorgebrachten Nachstellun­gen wegen seiner Kandidatur für die Wahlen von 2004 nicht in Frage ge­stellt. Die geltend gemachte Nötigung zum Rückzug der Kandidatur und die Erschiessung einer Person im Jahre 2005, welche für den Beschwerde­führer gehalten worden sei, liegen aber bereits mehr als sechs Jahre zurück und ereigneten sich im Klima des damals mit unter­schiedlicher Intensität aufflackernden Bürgerkrieges. Die Vorinstanz stellt im Übrigen zu Recht fest, dass der Beschwerdeführer kein politisches Pro­fil aufweist, welches ihn aktuell aus diesem Grund als landesweit gefähr­det erscheinen liesse; diese Erwägungen des BFM sind auf Be­schwerdeebene unwidersprochen geblieben. Die allfällige Nachreichung der in der Beschwerde erwähnten Zeitungsartikel, welche sich offenbar auf allgemeine Vorfälle und nicht den Beschwerdeführer persönlich bezie­hen, ist mangels Erheblichkeit nicht abzuwarten. Aus den Akten ergeben sich ferner auch keine konkreten Anhaltspunkte dafür, der Beschwerdefüh­rer könnte einer anderen der genannten Risikogruppen im erforderlichen Ausmass angehören. Unbesehen einer gewissen Fraglich­keit der in den Eingaben eher stereotyp vorgebrachten Nachstellungen durch unbekannte Bewaffnete bis ins Jahr 2009 ist auch diese Verfolgung in­sofern nicht flüchtlingsrechtlich relevant, als aufgrund des Persönlichkeitsprofils des Beschwerdeführers eine landesweite Gefähr­dung aktuell nicht als beachtlich wahrscheinlich qualifiziert werden kann. Dieser Erwägung hat der Beschwerdeführer in seiner Eingabe bei der Rekursinstanz nicht mit stichhaltigen Argumenten widersprochen. Die Aufzählung von in Zeitungen publik gemachten Gewaltereignissen lässt jedenfalls wiederum nicht auf eine konkret drohen­de persönliche Gefährdung vor Ort schliessen. Überdies wäre ihm unbenommen gewesen, bei Fortdauer der Behelligungen an staatli­che Stellen für eine allfällige Schutzgewährung zu gelangen.</w:t>
      </w:r>
    </w:p>
    <w:p>
      <w:r>
        <w:rPr>
          <w:b/>
        </w:rPr>
        <w:t>E. 7</w:t>
      </w:r>
    </w:p>
    <w:p>
      <w:r>
        <w:t>Zusammenfassend ist festzustellen, dass der Beschwerdeführer keine Ge­fährdung im Sinne von Art. 3 AsylG glaubhaft machen konnte. Auf­grund der vor­stehenden Erwägungen erübrigt es sich, auf die weiteren Aus­führungen ein­zugehen, da sie am festgestellten Ergebnis nichts zu än­dern vermö­gen. Auch von einer vertiefteren Auseinandersetzung mit den eingereichten Beweismitteln, welche im Sinne der zutreffenden vo­r­instanzlichen Erwägung lediglich die unbestrittenen Vorbringen des Be­schwerdeführers belegen, kann abgesehen werden.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