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D-2840/2013 vom 18. Januar 2016</w:t>
      </w:r>
    </w:p>
    <w:p>
      <w:r>
        <w:t>Bundesverwaltungsgericht, 2016-01-18, DE</w:t>
      </w:r>
    </w:p>
    <w:p>
      <w:r>
        <w:rPr>
          <w:b/>
        </w:rPr>
        <w:t xml:space="preserve">Quelle: </w:t>
      </w:r>
      <w:r>
        <w:t>https://mcp.opencaselaw.ch/entscheid/bvger_D-2840_2013</w:t>
      </w:r>
    </w:p>
    <w:p>
      <w:r>
        <w:t>FR: TAF D-2840/2013 du 18 janvier 2016</w:t>
      </w:r>
    </w:p>
    <w:p>
      <w:r>
        <w:t>IT: TAF D-2840/2013 del 18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14. Dezember 2012 verabschiedete die schweizerische Bundesversammlung eine Revision des Asylgesetzes vom 26. Juni 1998 (AS 2013 4375), die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rügte in formeller Hinsicht, die Vorinstanz habe den rechtserheblichen Sachverhalt nicht vollständig abgeklärt, indem sie seine Angaben nicht mittels einer Botschaftsabklärung verifiziert habe, und das rechtliche Gehör verletzt, indem sie nicht begründet habe, weshalb sie keine Botschaftsabklärung durchgeführt habe. Diese verfahrensrechtlichen Rügen sind vorab zu prüfen, da sie allenfalls geeignet sind, eine Kassation der vorinstanzlichen Verfügung zu bewirken (vgl. Entscheidungen und Mitteilungen der [vormaligen] Schweizerischen Asylrekurskommission [EMARK] 2004 Nr. 38).</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[S. 293];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erwähnt oder widerlegt (vgl. BGE 136 I 184 E. 2.2.1 [S. 188]).</w:t>
      </w:r>
    </w:p>
    <w:p>
      <w:r>
        <w:rPr>
          <w:b/>
        </w:rPr>
        <w:t>E. 3.3</w:t>
      </w:r>
    </w:p>
    <w:p>
      <w:r>
        <w:t>Die formellen Rügen des Beschwerdeführers erweisen sich als unbegründet. Das BFM hat die Vorbringen des Beschwerdeführers gehört und in der angefochtenen Verfügung vom 9. April 2013 gewürdigt. Es erachtete den Sachverhalt im Zeitpunkt des Erlasses der Verfügung als rechtsgenüglich erstellt. Diese Einschätzung ist nicht zu beanstanden. Da im Asylverfahren keine Pflicht zur Durchführung einer Botschaftsabklärung besteht, hatte das BFM auch nicht zu begründen, weshalb es in casu keine solche durchführte. Eine mangelhafte Sachverhaltsfeststellung respektive Verletzung des rechtlichen Gehörs des Beschwerdeführers liegt damit nicht vor.</w:t>
      </w:r>
    </w:p>
    <w:p>
      <w:r>
        <w:rPr>
          <w:b/>
        </w:rPr>
        <w:t>E. 3.4</w:t>
      </w:r>
    </w:p>
    <w:p>
      <w:r>
        <w:t>Aufgrund des Gesagten besteht keine Veranlassung, die angefochtene Verfügung aus formellen Gründen aufzuheben und die Sache an die Vorinstanz zurückzuweisen. Der entsprechende Antrag ist abzuweisen.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5.1</w:t>
      </w:r>
    </w:p>
    <w:p>
      <w:r>
        <w:t>Das BFM erachtete die Vorbringen des Beschwerdeführers als den Anforderungen an die Flüchtlingseigenschaft gemäss Art. 3 AsylG und denjenigen an die Glaubhaftigkeit gemäss Art. 7 AsylG nicht genügend. Dieser Einschätzung ist im Ergebnis beizupflichten.</w:t>
      </w:r>
    </w:p>
    <w:p>
      <w:r>
        <w:rPr>
          <w:b/>
        </w:rPr>
        <w:t>E. 5.2</w:t>
      </w:r>
    </w:p>
    <w:p>
      <w:r>
        <w:t>Eine Überprüfung der Akten ergibt, dass die Schilderungen des Beschwerdeführers zu seinen Aktivitäten für die Yekiti-Partei und zur fluchtauslösenden Festnahme am 2. November 2008 nicht zu überzeugen vermögen. Die Entgegnungen des Beschwerdeführers in den Rechtsmitteleingaben vermögen die ihm vom BFM mit zutreffender Begründung vorgehaltenen Ungereimtheiten nicht zu entkräften und die Zweifel an der Glaubhaftigkeit seiner Ausführungen nicht auszuräumen. Die politischen Tätigkeiten, die er als einfaches Mitglied für die Yekiti-Partei seit dem Jahr 2005 - respektive laut der Beschwerdeergänzung vom 18. November 2015 seit dem Jahr 2004 - ausgeführt habe, vermochte der Beschwerdeführer nicht überzeugend darzulegen. Seine diesbezüglichen Angaben, an Sitzungen teilgenommen und Flugblätter verteilt zu haben, blieben trotz mehrmaligen Nachhakens seitens des Befragers oberflächlich. Auf gezielte Nachfragen erfolgten oft ausweichende, pauschale Antworten (vgl. bspw. zur Frage nach dem konkreten Ort der Parteisitzungen, an denen er teilgenommen habe [A7 S. 6 F52: "In N._______ gab es oft Sitzungen"] oder der Häufigkeit des Flugblätterverteilens: [A7 S. 7 F58: "Mehrmals"]). Im Übrigen gab der Beschwerdeführer an, deswegen keine Probleme gehabt zu haben; bis zum 2. November 2008 habe er nie irgendwelche Probleme mit den Behörden gehabt (vgl. A7 S. 8 F65 f.). Mit dem erst nachträglich erfolgten Verweis auf eine mehrere Jahre zurückliegende, wenige Stunden dauernde Festhaltung seiner Musikgruppe im Jahr 2005 vermag der Beschwerdeführer keine gezielt gegen ihn gerichteten Verfolgungsmassnahmen seitens der syrischen Behörden im Zeitpunkt seiner Ausreise am 19. Mai 2009 darzulegen. Die Angaben zur Verhaftung am 2. November 2008, der daran anschliessenden einmonatigen Inhaftierung und der Schikanierung nach der Entlassung vermögen nicht zu überzeugen. Die diesbezügliche Schilderung des Beschwerdeführers erweckt vielmehr den Eindruck, er berichte über ein allgemein bekanntes Ereignis (die Kundgebung in E._______ vom 2. November 2008). Die Angabe, er habe durch Publikationen einer Menschenrechtsorganisation erfahren, dass damals 195 Personen festgenommen worden seien (vgl. A7 S. 10 F92), verstärkt diesen Eindruck. Die aus diesem allgemein bekannten Ereignis resultierende angebliche einmonatige Inhaftierung vermochte der Beschwerdeführer hingegen nicht schlüssig zu schildern. Seine diesbezüglichen Ausführungen blieben - wie diejenigen zu seinen Aktivitäten für die Yekiti - vage. Seine Erklärung, er habe die betreffenden, bereits länger zurückliegenden Ereignisse so ausführlich geschildert wie es von ihm nach dieser langen Zeit habe erwartet werden können, vermag nicht zu überzeugen. Die Unsubstanziiertheit der Schilderungen und die aufgezeigten Ungereimtheiten lassen sich durch den Zeitablauf nicht erklären. Das persönliche Engagement für die Yekiti-Partei sollte er auch nach einer gewissen Zeit noch detailliert schildern können, umso mehr, als sich dieses in einem überschaubaren Rahmen (Sitzungen, Flugblätterverteilung) bewegt habe. Auch dürfte erwartet werden, dass der Beschwerdeführer die zentralen Punkte einer im Zeitpunkt der Befragung erst rund ein Jahr zurückliegenden Inhaftierung präzis wiedergeben kann, zumal es sich dabei um einschneidende Ereignisse handelt, die sich im Gedächtnis erfahrungsgemäss gut einprägen. Im Übrigen wäre es nicht nachvollziehbar, weshalb ihm die Sicherheitsbehörden die Aufforderungen zum neuerlichen Erscheinen nach der Haftentlassung anfangs Dezember 2008 jeweils über seinen auf dem (...) arbeitenden (Verwandten) hätten ausrichten lassen (vgl. A7 S. 10 F99), führte er (der Beschwerdeführer) doch gemäss eigenen Angaben seit 2005 ein eigenes Geschäft und lebte bis zur Ausreise bei seiner Mutter (vgl. A7 S. 3 F25, S. 4 F34 ff.), womit er für die Behörden jederzeit sowohl am Arbeits- als auch am Wohnort problemlos persönlich greifbar gewesen wäre. Mit der Angabe, die syrischen Behörden würden überall Druck auf Kurden ausüben (vgl. A7 S. 12 F113), vermag der Beschwerdeführer keine begründete Furcht vor gezielten Verfolgungsmassnahmen asylrechtlich relevanten Ausmasses im Zeitpunkt seiner Ausreise Mitte Mai 2009 darzulegen.</w:t>
      </w:r>
    </w:p>
    <w:p>
      <w:r>
        <w:rPr>
          <w:b/>
        </w:rPr>
        <w:t>E. 5.3</w:t>
      </w:r>
    </w:p>
    <w:p>
      <w:r>
        <w:t>Der Beschwerdeführer brachte im Weiteren in seiner Beschwerdeergänzung vom 18. November 2015 - unter Verweis auf ein Dokument, bei dem es sich um einen Marschbefehl der syrischen Armee handle - vor, er hätte am 14. Oktober 2015 in die syrische Armee einrücken müssen und gelte infolge der Nichtbeachtung des Aufgebots als Dienstverweigerer, weshalb ihm entsprechende rechtliche Konsequenzen drohen würden. In diesem Zusammenhang ist auf das Grundsatzurteil BVGE 2015/13 vom 18. Februar 2015 zu verweisen, wonach das syrische Militärstrafrecht für verschiedene Abstufungen der Entziehung von der Dienstpflicht (bspw. Unterscheidung zwischen Desertion ins Ausland und Desertion mit Überlaufen zum Feind) unterschiedliche Strafmasse vorsieht und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Art.3 Abs. 2 AsylG gleichkommt (vgl. E. 5.9). Das Gericht erwog in BVGE 2015/13, die genannten Voraussetzungen seien im Falle eines syrischen Refraktärs erfüllt, welcher der kurdischen Ethnie angehöre, einer oppositionell aktiven Familie entstamme, bereits in der Vergangenheit die Aufmerksamkeit der syrischen Sicherheitskräfte auf sich gezogen habe und unmittelbar vor der Ausreise, nur wenige Monate vor Ausbruch des Bürgerkriegs, zur militärischen Dienstleistung einberufen worden sei (vgl. E. 6.7.3). Vorliegend ist keine vergleichbare Konstellation gegeben. Der Beschwerdeführer hat Syrien im Mai 2009 und damit mehrere Jahre vor Ausbruch des Bürgerkriegs verlassen. Zwar machte er nunmehr mit Eingabe vom 18. November 2015 geltend, während seines Auslandaufenthalts einen Marschbefehl der syrischen Armee für den 14. Oktober 2015 erhalten zu haben, dem er keine Folge geleistet habe, indes vermögen seine diesbezüglichen Ausführungen und das eingereichte Dokument nicht zu überzeugen. Das SEM weist in seiner Stellungnahme vom 2. Dezember 2015 zu Recht darauf hin, dass die handschriftlich ausgefüllte Formularkopie keine Beweiskraft zu entfalten vermöge, zumal die Stadt C._______, wo sich der Beschwerdeführer beim Rekrutierungsbüro der syrischen Armee hätten melden müssen, schon seit längerer Zeit nicht mehr von den syrischen Behörden kontrolliert werde. Es kann diesbezüglich auf die entsprechenden Ausführungen des SEM in der Vernehmlassung vom 2. De­zember 2015 verwiesen werden. Die Entgegnungen des Beschwerdeführers in seiner Replik vom 23. Dezember 2015 vermögen nicht zu überzeugen. Sein Einwand, wonach das Rekrutierungsbüro für C._______ nach M._______ verlegt worden sei, wo das syrische Regime weiterhin herrsche, vermag den Beweiswert des fraglichen Dokuments nicht zu erhöhen, nennt dieses doch als Ausstellungsort nicht M._______, sondern C._______, und als Aussteller den Leiter des Rekrutierungsbüros in C._______. Das Vorbringen des Beschwerdeführers, der Marschbefehl sei seiner Familie in C._______ von der syrischen Armee ausgehändigt worden, steht wiederum im Widerspruch zu seiner Angabe in der Eingabe vom 1. November 2012, seine Familie halte sich schon seit Längerem nicht mehr in Syrien, sondern im Irak auf (vgl. A21). Schliesslich vermag das eingereichte Dokument auch inhaltlich nicht zu überzeugen, wird der Beschwerdeführer doch darin als Reservist bezeichnet, obwohl er nicht geltend gemacht hat, vor seiner Ausreise im Jahr 2009 wie andere Kurden den syrischen Militärdienst absolviert zu haben und daher als Reservist zu gelten (vgl. A7 S. 5 F40). Da die Nichtbefolgung eines Aufgebots der syrischen Armee aufgrund des Gesagten nicht geglaubt werden kann, kann nicht von einer Dienstverweigerung oder Desertion gesprochen werden. Es ist deshalb auch nicht davon auszugehen, dass der Beschwerdeführer aus diesem Grund eine politisch motivierte Bestrafung und Behandlung zu gewärtigen hätte, die einer flüchtlingsrechtlich relevanten Verfolgung im Sinne von Art. 3 AsylG gleichkommen würde.</w:t>
      </w:r>
    </w:p>
    <w:p>
      <w:r>
        <w:rPr>
          <w:b/>
        </w:rPr>
        <w:t>E. 5.4</w:t>
      </w:r>
    </w:p>
    <w:p>
      <w:r>
        <w:t>Dem Beschwerdeführer ist es aufgrund des Gesagten nicht gelungen, mittels der vorgebrachten Fluchtgründe die Flüchtlingseigenschaft gemäss Art. 3 AsylG nachzuweisen oder zumindest glaubhaft zu machen.</w:t>
      </w:r>
    </w:p>
    <w:p>
      <w:r>
        <w:rPr>
          <w:b/>
        </w:rPr>
        <w:t>E. 6.1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6.2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6.3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6.3.1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6.3.2</w:t>
      </w:r>
    </w:p>
    <w:p>
      <w:r>
        <w:t>Der Beschwerdeführer machte - unter Einreichung entsprechender Belege - geltend, weiterhin Mitglied der Yekiti-Partei zu sein, sich auf Facebook regimekritisch zu äussern und in der Schweiz an Kundgebungen gegen das heimatliche Regime am 14. Oktober 2011 und 29. September 2012 sowie an einer Konferenz am 10. Juni 2012 teilgenommen zu haben.</w:t>
      </w:r>
    </w:p>
    <w:p>
      <w:r>
        <w:rPr>
          <w:b/>
        </w:rPr>
        <w:t>E. 6.3.3</w:t>
      </w:r>
    </w:p>
    <w:p>
      <w:r>
        <w:t>Aus den bezüglich des exilpolitischen Engagements in der Schweiz eingereichten Beweismitteln lässt sich nicht ableiten, dass der Beschwerdeführer der Kategorie von Personen zuzurechnen sei, die wegen ihrer Tätigkeiten oder Funktionen im Exil als ernsthafte und potenziell gefährliche Regimegegner die Aufmerksamkeit der syrischen Geheimdienste auf sich gezogen haben könnten. Die Unterlagen zeigen den Beschwerdeführer an lediglich zwei, bereits mehrere Jahre zurückliegenden Demonstrationen und einer einzelnen Konferenz im Jahr 2012, eingebettet in den Kreis anderer Kundgebungs- und Tagungsteilnehmer, teils - wie zahlreiche andere auch - Plakate mit allgemein gefassten Schlagwörtern wie "Assad No" tragend, respektive mit anderen Personen an einem runden Tisch (ohne Namensschilder) in einem abgedunkelten Raum mit zugezogenen Vorhängen sitzend. Daraus kann nicht auf ein intensives, exilpolitisches Engagement geschlossen werden, durch das er sich speziell und über das Mass der grossen Zahl gewöhnlicher Kundgebungs- oder Tagungsteilnehmer hinaus exponiert hätte. Der Beschwerdeführer vermittelt damit nicht den Eindruck, er hätte in einer regimefeindlichen Partei oder Organisation eine herausragende Funktion inne, sondern präsentiert sich wie Tausende syrische Staatsangehörige in der Schweiz und anderen europäischen Staaten als einfacher Teilnehmer an den zahlreich und vielerorts stattfindenden Kundgebungen gegen das syrische Regime sowie als einfaches Yekiti-Mitglied, ohne nach aussen hin exponierende Funktion. Es ist deshalb nicht wahrscheinlich, dass seitens des syrischen Regimes ein besonderes Interesse an seiner Person bestehen könnte. An dieser Einschätzung vermögen die auf Facebook gestellten Beiträge, die seine regimekritische Haltung zeigen würden, nichts zu ändern. Solche Aktivitäten sind bei einer Vielzahl von Asylsuchenden festzustellen und der Beschwerdeführer vermag damit ebenfalls keine sich von der Masse abhebende, exponierte Aktivität darzulegen. Das exilpolitische Engagement des Beschwerdeführers übersteigt die Schwelle der massentypischen Erscheinungsformen exilpolitischer Proteste syrischer Staatsangehöriger nicht.</w:t>
      </w:r>
    </w:p>
    <w:p>
      <w:r>
        <w:rPr>
          <w:b/>
        </w:rPr>
        <w:t>E. 6.3.4</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aber nicht glaubhaft machen konnte, im Zeitpunkt des Verlassens Syriens im Fokus der heimatlichen Behörden gewesen zu sein, ist nicht davon auszugehen, dass er bei einer Rückkehr Massnahmen in asylrechtlich relevantem Ausmass befürchten müsste.</w:t>
      </w:r>
    </w:p>
    <w:p>
      <w:r>
        <w:rPr>
          <w:b/>
        </w:rPr>
        <w:t>E. 6.3.5</w:t>
      </w:r>
    </w:p>
    <w:p>
      <w:r>
        <w:t>Der Beschwerdeführer erfüllt damit die Voraussetzungen für die Zuerkennung der Flüchtlingseigenschaft gemäss Art. 3 AsylG auch unter dem Aspekt subjektiver Nachfluchtgründe gemäss Art. 54 AsylG nicht.</w:t>
      </w:r>
    </w:p>
    <w:p>
      <w:r>
        <w:rPr>
          <w:b/>
        </w:rPr>
        <w:t>E. 6.3.6</w:t>
      </w:r>
    </w:p>
    <w:p>
      <w:r>
        <w:t>Zusammenfassend ist festzuhalten, dass es dem Beschwerdeführer nicht gelungen ist, asylrechtlich relevante Verfolgungsgründe im Sinne von Art. 3 AsylG nachzuweisen oder zumindest glaubhaft zu machen. Die Vorinstanz hat damit die Flüchtlingseigenschaft zu Recht verneint und das Asylgesuch entsprechend abgelehnt. In diesem Lichte besehen, braucht nicht weiter auf die übrigen, nicht namentlich erwähnten Beweismittel eingegangen zu werden.</w:t>
      </w:r>
    </w:p>
    <w:p>
      <w:r>
        <w:rPr>
          <w:b/>
        </w:rPr>
        <w:t>E. 7</w:t>
      </w:r>
    </w:p>
    <w:p>
      <w:r>
        <w:t>Aus diesen Erwägungen ergibt sich, dass die angefochtene Verfügung Bundesrecht nicht verletzt und auch sonst nicht zu beanstanden ist (Art. 106 Abs. 1 AsylG, Art. 49 VwVG).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