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D-2839/2013 vom 27. Mai 2013</w:t>
      </w:r>
    </w:p>
    <w:p>
      <w:r>
        <w:t>Bundesverwaltungsgericht, 2013-05-27, IT</w:t>
      </w:r>
    </w:p>
    <w:p>
      <w:r>
        <w:rPr>
          <w:b/>
        </w:rPr>
        <w:t xml:space="preserve">Quelle: </w:t>
      </w:r>
      <w:r>
        <w:t>https://mcp.opencaselaw.ch/entscheid/bvger_D-2839_2013</w:t>
      </w:r>
    </w:p>
    <w:p>
      <w:r>
        <w:t>FR: TAF D-2839/2013 du 27 mai 2013</w:t>
      </w:r>
    </w:p>
    <w:p>
      <w:r>
        <w:t>IT: TAF D-2839/2013 del 27 maggio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il ricorso è respinto.</w:t>
      </w:r>
    </w:p>
    <w:p>
      <w:r>
        <w:rPr>
          <w:b/>
        </w:rPr>
        <w:t>E. 2</w:t>
      </w:r>
    </w:p>
    <w:p>
      <w:r>
        <w:t>La misura supercautelare pronunciata in data 21 maggio 2013 è revocata.</w:t>
      </w:r>
    </w:p>
    <w:p>
      <w:r>
        <w:rPr>
          <w:b/>
        </w:rPr>
        <w:t>E. 3</w:t>
      </w:r>
    </w:p>
    <w:p>
      <w:r>
        <w:t>Le spese processuali di CHF 600.-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