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D-2836/2011 vom 10. April 2012</w:t>
      </w:r>
    </w:p>
    <w:p>
      <w:r>
        <w:t>Bundesverwaltungsgericht, 2012-04-10, DE</w:t>
      </w:r>
    </w:p>
    <w:p>
      <w:r>
        <w:rPr>
          <w:b/>
        </w:rPr>
        <w:t xml:space="preserve">Quelle: </w:t>
      </w:r>
      <w:r>
        <w:t>https://mcp.opencaselaw.ch/entscheid/bvger_D-2836_2011</w:t>
      </w:r>
    </w:p>
    <w:p>
      <w:r>
        <w:t>FR: TAF D-2836/2011 du 10 avril 2012</w:t>
      </w:r>
    </w:p>
    <w:p>
      <w:r>
        <w:t>IT: TAF D-2836/2011 del 10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angefochtenen Verfügung vorab zutreffend fest, der Beschwerdeführer habe im Verlaufe des Verfahrens zu wesentlichen Punkten unterschiedliche Angaben gemacht. So gab der Beschwerdeführer etwa in der Erstbefragung zu Protokoll, er habe die Tochter eines Mullahs "sozusagen nach Brauch" zu sich nach Hause gebracht; sie hätten zusammengelebt (vgl. Vorakten A1 S. 6). Demgegenüber behauptete er in der direkten Bundesanhörung, er habe nicht bei sich zu Hause mit seiner Freundin Zeynab zusammensein können, da dort noch zwei unverheiratete Schwestern lebten (vgl. A12 S. 5). In seiner Eingabe vom 17. Mai 2011 (vgl. S. 2 f.) wendet der Beschwerdeführer ein, er habe nie gesagt, seine Freundin zu sich nach Hause gebracht zu haben, da dies im Iran gar nicht möglich gewesen wäre; seine in der Erstbefragungen gemachten Angaben seien offensichtlich falsch übersetzt worden. Der Umstand, dass er das Protokoll mit den falsch übersetzten Aussagen (dennoch) unterschrieben habe, sei auf seine Ermüdung und Verwirrtheit nach der langen Flucht zurückzuführen. Auch in der Beschwerdeschrift vom 1. Juni 2011 (vgl. S. 3) ist von Missverständnissen zwischen dem Beschwerdeführer und dem Übersetzer die Rede. Diese Darstellung vermag indessen nicht zu überzeugen, zumal dem Beschwerdeführer die anlässlich der Befragungen erstellten Protokolle rückübersetzt worden waren und er nicht nur deren Richtigkeit und Vollständigkeit unterschriftlich bestätigt, sondern beide Male auch ausdrücklich erklärt hatte, den Dolmetscher sehr gut verstanden zu haben (vgl. A1 S. 10 und A12 S. 14); im Übrigen ergeben sich aus den Akten auch keine Hinweise, dass der Beschwerdeführer anlässlich der (ersten) Befragung oder auch bei der (zweiten) Anhörung ermüdet oder gar verwirrt gewesen sein könnte.</w:t>
      </w:r>
    </w:p>
    <w:p>
      <w:r>
        <w:rPr>
          <w:b/>
        </w:rPr>
        <w:t>E. 4.2</w:t>
      </w:r>
    </w:p>
    <w:p>
      <w:r>
        <w:t>Die Zweifel an der Glaubhaftigkeit der Vorbringen des Beschwerdeführers werden dadurch erhärtet, dass diese in wesentlichen Punkten der allgemeinen Erfahrung beziehungsweise der Logik des Handelns widersprechen. Der Beschwerdeführer machte geltend, der Vater von F._______ habe auf dem Handy seiner Tochter seine Telefonnummer gefunden und ihn in der Folge wiederholt telefonisch bedroht. Zudem habe der Vater seiner Freundin über Geschäftsnachbarn im Basar die Adresse des seiner Familie gehörenden Geschäfts in Erfahrung gebracht und sich daraufhin dort bei seinem Bruder Ali nach seinem Aufenthaltsort erkundigt (vgl. A1 S. 7 und A12 S. 14). Hingegen habe der "Mullah" seine Privatdresse nicht gekannt, weshalb er - der Beschwerdeführer - sich nur noch in seinem Elternhaus sicher gefühlt habe (vgl. A12 S. 10 und 14). Wie in der angefochtenen Verfügung zutreffend bemerkt wurde, entbehren diese Aussagen jeglicher Logik, wäre es doch für den Vater von F._______ - wäre er tatsächlich ein einflussreicher "Mullah" gewesen, der sogar in der Lage gewesen sein soll, ein Ausreiseverbot gegen den Beschwerdeführer zu erwirken (vgl. A12 S. 3) - ohne weiteres möglich gewesen, dessen Wohnadresse herauszufinden. Mit dem Hinweis, dem Beschwerdeführer sei es klar gewesen, dass der Vater von F._______ "früher oder später seine Wohnsitzadresse herausgefunden und ihn dort auch gesucht hätte" (vgl. Beschwerdeschrift vom 1. Juni 2011 S. 3) lassen sich die Zweifel an der Glaubhaftigkeit der Vorbringen nicht beseitigen.</w:t>
      </w:r>
    </w:p>
    <w:p>
      <w:r>
        <w:rPr>
          <w:b/>
        </w:rPr>
        <w:t>E. 4.3</w:t>
      </w:r>
    </w:p>
    <w:p>
      <w:r>
        <w:t>Schliesslich vermöchten die Vorbringen des Beschwerdeführers - selbst wenn sie als glaubhaft erachtet würden - auch den Anforderungen an die Asylrelevanz nicht zu genügen, handelt es sich doch bei den geschilderten Vorwürfen seitens des Vaters seiner Freundin F._______ (Verletzung seiner Ehre) um rein innerfamiliäre Probleme. Zum Schutz vor den angeblich darauf gründenden Nachstellungen (telefonische Drohungen mit dem Tod) könnte sich der Beschwerdeführer an die Behörden seines Heimatlandes wenden, und es ist davon auszugehen, dass er - selbst wenn der Vater von F._______ tatsächlich ein "Mullah" wäre - den angeforderten Schutz auch erhalten würde.</w:t>
      </w:r>
    </w:p>
    <w:p>
      <w:r>
        <w:rPr>
          <w:b/>
        </w:rPr>
        <w:t>E. 4.4</w:t>
      </w:r>
    </w:p>
    <w:p>
      <w:r>
        <w:t>Zusammenfassend ergibt sich, dass die Vorbringen des Beschwerdeführers weder den Anforderungen an die Glaubhaftigkeit noch denjenigen an die Flüchtlingseigenschaft standhalten. Es kann darauf verzichtet werden, auf die übrigen Erwägungen der Vorinstanz (etwa auf zusätzlich aufgeführte Ungereimtheiten) und auf die weiteren Darlegungen in der Beschwerdeschrift (etwa auf die auf Beschwerdeebene erstmals angebrachte Bemerkung, sowohl der Vater als auch zwei Brüder des Beschwerdeführers seien praktizierende Muslime und hätten sich daher auch gegen ihn gewendet [vgl. Beschwerdeschrift S. 3]) einzugehen. Das Asylgesuch wurde vom Bundesamt nach dem Gesagten zu Recht abgewiesen.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den Iran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4 der Erwägungen festgehalten wurde - nicht gelungen ist, die Zweifel an der Glaubhaftigkeit seiner Verfolgungssituation zu beseitigen.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Bezüglich des Iran kann zum jetzigen Zeitpunkt nicht von Krieg, Bürgerkrieg oder von einer Situation allgemeiner Gewalt, welche für den Beschwerdeführer bei einer Rückkehr dorthin eine konkrete Gefährdung darstellen würde, gesprochen werden.</w:t>
      </w:r>
    </w:p>
    <w:p>
      <w:r>
        <w:rPr>
          <w:b/>
        </w:rPr>
        <w:t>E. 6.2.2</w:t>
      </w:r>
    </w:p>
    <w:p>
      <w:r>
        <w:t>Sodann bestehen auch keine anderen Hinweise, dass der Beschwerdeführer bei seiner Rückkehr in den Iran in eine konkrete, seine Existenz bedrohende Situation geraten könnte. Er ist noch relativ jung, soweit aktenkundig gesund und verfügt über eine sehr gute Schulbildung (Gymnasium mit Abschluss in naturwissenschaftlicher Richtung) sowie über Berufserfahrung (Mitarbeit im Metallwarengeschäft seiner Familie). Zudem spricht er neben Azeri und Farsi auch etwas Englisch (vgl. A1 S. 3), und es ist davon auszugehen, dass seine im Iran wohnhaften nächsten Angehörigen (Vater und zahlreiche Geschwister [vgl. A1 S. 4]) ihm bei der Integration behilflich sein werden.</w:t>
      </w:r>
    </w:p>
    <w:p>
      <w:r>
        <w:rPr>
          <w:b/>
        </w:rPr>
        <w:t>E. 6.2.3</w:t>
      </w:r>
    </w:p>
    <w:p>
      <w:r>
        <w:t>Nach dem Gesagten kann der Vollzug der Wegweisung auch als zumutbar bezeichnet werden.</w:t>
      </w:r>
    </w:p>
    <w:p>
      <w:r>
        <w:rPr>
          <w:b/>
        </w:rPr>
        <w:t>E. 6.3</w:t>
      </w:r>
    </w:p>
    <w:p>
      <w:r>
        <w:t>Schliesslich obliegt es dem Beschwerdeführer, bei der Beschaffung der für die Rückkehr benötigten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Das Bundesverwaltungsgericht bewilligte dem Beschwerdeführer mit Zwischenverfügung vom 20. Juni 2011 die unentgeltliche Prozessführung (Art. 65 Abs. 1 VwVG) unter dem Vorbehalt seiner dannzumaligen finanziellen Verhältnisse. Die finanziellen Verhältnisse haben sich indessen in der Zwischenzeit massgeblich verändert: Der Beschwerdeführer geht seit einem halben Jahr einer Beschäftigung als Raumpfleger nach, weshalb nicht mehr von seiner Bedürftigkeit ausgegangen werden kann. Bei diesem Ausgang des Verfahrens sind daher - in Wiedererwägung der besagten Zwischenverfügung vom 20. Juni 2011 - dem Beschwerdeführer die Kosten desselben aufzuerlegen (Art. 63 Abs. 1 und 5 VwVG und Art. 1-3 des Reglements vom 21. Februar 2008 über die Kosten und Entschädigungen vor dem Bundesverwaltungsgericht [VGKE, SR 173.320.2]). Sie sind auf insgesamt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