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D-2826/2013 vom 17. Juli 2013</w:t>
      </w:r>
    </w:p>
    <w:p>
      <w:r>
        <w:t>Bundesverwaltungsgericht, 2013-07-17, DE</w:t>
      </w:r>
    </w:p>
    <w:p>
      <w:r>
        <w:rPr>
          <w:b/>
        </w:rPr>
        <w:t xml:space="preserve">Quelle: </w:t>
      </w:r>
      <w:r>
        <w:t>https://mcp.opencaselaw.ch/entscheid/bvger_D-2826_2013</w:t>
      </w:r>
    </w:p>
    <w:p>
      <w:r>
        <w:t>FR: TAF D-2826/2013 du 17 juillet 2013</w:t>
      </w:r>
    </w:p>
    <w:p>
      <w:r>
        <w:t>IT: TAF D-2826/2013 del 17 luglio 2013</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Im vorliegenden Verfahren sind die Voraussetzungen der Bewilligung der Einreise der Ehefrau des Beschwerdeführers in die Schweiz gestützt auf Art. 51 AsylG (Familiennachzug) zu prüfen beziehungsweise ob dieser unter Einbezug in die Flüchtlingseigenschaft ihres Ehemannes in der Schweiz Asyl zu gewähren ist.</w:t>
      </w:r>
    </w:p>
    <w:p>
      <w:r>
        <w:rPr>
          <w:b/>
        </w:rPr>
        <w:t>E. 5.1</w:t>
      </w:r>
    </w:p>
    <w:p>
      <w:r>
        <w:t>Gemäss Art. 51 Abs. 1 und 4 AsylG wird Ehegatten, eingetragenen Partnerinnen oder Partnern von Flüchtlingen und ihren minderjährigen Kindern die Einreise auf Gesuch hin bewilligt, wenn sie durch die Flucht getrennt wurden und sie sich im Ausland befinden. Nach der Einreise werden sie als Flüchtlinge anerkannt und erhalten Asyl, wenn keine besonderen Umstände dagegen sprechen.</w:t>
      </w:r>
    </w:p>
    <w:p>
      <w:r>
        <w:rPr>
          <w:b/>
        </w:rPr>
        <w:t>E. 5.2</w:t>
      </w:r>
    </w:p>
    <w:p>
      <w:r>
        <w:t>Auf Beschwerdeebene wird im Wesentlichen geltend gemacht, die Ehefrau des Beschwerdeführers erwarte ihr erstes Kind, die Eheleute hätten schon früh das Einverständnis ihrer Familien für eine spätere Heirat erhalten, seien als Verlobte betrachtet worden und würden nun als Eheleute den Wunsch nach einem Zusammenleben hegen. Zur Untermauerung seiner Vorbringen reichte der Beschwerdeführer unter anderem verschiedene Hochzeitsfotos sowie ein Arztzeugnis vom 9. Mai 2013 zu Akten, wonach seine Ehefrau ihren Angaben zufolge in der siebzehnten Schwangerschaftswoche sei.</w:t>
      </w:r>
    </w:p>
    <w:p>
      <w:r>
        <w:rPr>
          <w:b/>
        </w:rPr>
        <w:t>E. 5.3</w:t>
      </w:r>
    </w:p>
    <w:p>
      <w:r>
        <w:t>Eine Überprüfung der Akten ergibt jedoch, dass die Vorinstanz zu Recht die Einreise der Ehefrau des Beschwerdeführers in die Schweiz nicht bewilligt und das Gesuch um Familienasyl abgelehnt hat, zumal der Beschwerdeführer mit Eingabe vom 25. Juni 2013 selbst einräumte, vor ihrer Trennung hätten er und seine Ehefrau nicht in einem eheähnlichen Verhältnis zusammengelebt. Demnach wurde die Familiengemeinschaft nicht durch Flucht getrennt, womit die vorerwähnte Voraussetzung für die Bewilligung der Einreise in die Schweiz beziehungsweise die Gewährung von Familienasyl nicht gegeben ist (vgl. Entscheidungen und Mitteilungen der Schweizerischen Asylrekurskommission [EMARK] 2006 Nr. 8 E. 3.2. S. 94).</w:t>
      </w:r>
    </w:p>
    <w:p>
      <w:r>
        <w:rPr>
          <w:b/>
        </w:rPr>
        <w:t>E. 5.4</w:t>
      </w:r>
    </w:p>
    <w:p>
      <w:r>
        <w:t>Zusammenfassend ist festzuhalten, dass die Voraussetzungen für den Einschluss der Ehefrau des Beschwerdeführers in das Familienasyl gemäss Art. 51 Abs. 1 AsylG beziehungsweise die Bewilligung ihrer Einreise in die Schweiz gemäss Art. 51 Abs. 4 AsylG nicht gegeben sind. Das BFM hat somit die Einreise von B._______ in die Schweiz und das Familienasylgesuch zu Recht abgelehnt.</w:t>
      </w:r>
    </w:p>
    <w:p>
      <w:r>
        <w:rPr>
          <w:b/>
        </w:rPr>
        <w:t>E. 6</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7</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2. Juli 2013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