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D-2817/2021 vom 10. September 2021</w:t>
      </w:r>
    </w:p>
    <w:p>
      <w:r>
        <w:t>Bundesverwaltungsgericht, 2021-09-10, FR</w:t>
      </w:r>
    </w:p>
    <w:p>
      <w:r>
        <w:rPr>
          <w:b/>
        </w:rPr>
        <w:t xml:space="preserve">Quelle: </w:t>
      </w:r>
      <w:r>
        <w:t>https://mcp.opencaselaw.ch/entscheid/bvger_D-2817_2021</w:t>
      </w:r>
    </w:p>
    <w:p>
      <w:r>
        <w:t>FR: TAF D-2817/2021 du 10 septembre 2021</w:t>
      </w:r>
    </w:p>
    <w:p>
      <w:r>
        <w:t>IT: TAF D-2817/2021 del 10 settembre 2021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du 10 juin 2021 est irrecevable.</w:t>
      </w:r>
    </w:p>
    <w:p>
      <w:r>
        <w:rPr>
          <w:b/>
        </w:rPr>
        <w:t>E. 2</w:t>
      </w:r>
    </w:p>
    <w:p>
      <w:r>
        <w:t>Les frais de procédure d'un montant de 1'500 francs sont mis à la charge du requérant. Ils sont entièrement couverts par l'avance de frais du même montant versée le 8 juillet 2021.</w:t>
      </w:r>
    </w:p>
    <w:p>
      <w:r>
        <w:rPr>
          <w:b/>
        </w:rPr>
        <w:t>E. 3</w:t>
      </w:r>
    </w:p>
    <w:p>
      <w:r>
        <w:t>Le présent arrêt est adressé au requérant, au SEM et à l'autorité cantonale. Le président du collège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