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D-2814/2013 vom 16. Dezember 2013</w:t>
      </w:r>
    </w:p>
    <w:p>
      <w:r>
        <w:t>Bundesverwaltungsgericht, 2013-12-16, FR</w:t>
      </w:r>
    </w:p>
    <w:p>
      <w:r>
        <w:rPr>
          <w:b/>
        </w:rPr>
        <w:t xml:space="preserve">Quelle: </w:t>
      </w:r>
      <w:r>
        <w:t>https://mcp.opencaselaw.ch/entscheid/bvger_D-2814_2013</w:t>
      </w:r>
    </w:p>
    <w:p>
      <w:r>
        <w:t>FR: TAF D-2814/2013 du 16 décembre 2013</w:t>
      </w:r>
    </w:p>
    <w:p>
      <w:r>
        <w:t>IT: TAF D-2814/2013 del 16 dicembre 2013</w:t>
      </w:r>
    </w:p>
    <w:p>
      <w:pPr>
        <w:pStyle w:val="Heading2"/>
      </w:pPr>
      <w:r>
        <w:t>Regeste</w:t>
      </w:r>
    </w:p>
    <w:p>
      <w:r>
        <w:t>Asile et renvoi</w:t>
      </w:r>
    </w:p>
    <w:p>
      <w:pPr>
        <w:pStyle w:val="Heading2"/>
      </w:pPr>
      <w:r>
        <w:t>Erwägungen</w:t>
      </w:r>
    </w:p>
    <w:p>
      <w:r>
        <w:rPr>
          <w:b/>
        </w:rPr>
        <w:t>E. 3.1</w:t>
      </w:r>
    </w:p>
    <w:p>
      <w:r>
        <w:t>Vu la connexité des deux affaires et selon le principe d'économie de procédure, l'ODM traitera prioritairement ou simultanément la demande d'asile de B._______ par rapport à celle de l'intéressé. Il est à ce propos encore relevé qu'en se déterminant sur la demande d'asile de A._______ avant celle (...) [de son proche parent], l'ODM a pris également le risque de rendre deux décisions contradictoires.</w:t>
      </w:r>
    </w:p>
    <w:p>
      <w:r>
        <w:rPr>
          <w:b/>
        </w:rPr>
        <w:t>E. 3.2</w:t>
      </w:r>
    </w:p>
    <w:p>
      <w:r>
        <w:t>Avant de statuer à nouveau sur la demande d'asile introduite par le recourant, l'office fédéral devra en particulier lui octroyer le droit d'être entendu sur les éléments pertinents selon lui pour exclure l'existence d'un risque de persécution future réfléchie, malgré l'engagement politique de B._______, son fichage et les procédures pénales vraisemblablement encore ouvertes contre ce dernier en lien avec son engagement politique. En outre, dans le cadre de la nouvelle décision, l'ODM est invité à développer une argumentation cohérente entre les persécutions alléguées par B._______ et celles réflexes invoquées par l'intéressé, ainsi que l'existence éventuelle d'une possibilité de protection interne.</w:t>
      </w:r>
    </w:p>
    <w:p>
      <w:r>
        <w:rPr>
          <w:b/>
        </w:rPr>
        <w:t>E. 4.1</w:t>
      </w:r>
    </w:p>
    <w:p>
      <w:r>
        <w:t>Au vu de l'issue de la cause, il n'y a pas lieu de percevoir des frais de procédure (art. 63 al. 1 et al. 2 PA), de sorte que la demande d'assistance judiciaire partielle est sans objet.</w:t>
      </w:r>
    </w:p>
    <w:p>
      <w:r>
        <w:rPr>
          <w:b/>
        </w:rPr>
        <w:t>E. 4.2</w:t>
      </w:r>
    </w:p>
    <w:p>
      <w:r>
        <w:t>Conformément à l'art. 7 al. 1 du règlement du 21 février 2008 concernant les frais, dépens et indemnités fixés par le Tribunal administratif fédéral (FITAF, RS 173.320.2), le recourant qui a eu gain de cause a droit à des dépens pour les frais nécessaires et utiles qu'il a dû engager (cf. également l'art. 64 al. 1 PA).</w:t>
      </w:r>
    </w:p>
    <w:p>
      <w:r>
        <w:rPr>
          <w:b/>
        </w:rPr>
        <w:t>E. 4.3</w:t>
      </w:r>
    </w:p>
    <w:p>
      <w:r>
        <w:t>En l'espèce, au vu du dossier, les dépens sont arrêtés, ex aequo et bono, à un montant de 1'320 francs (soit l'équivalent de 6 heures de travail à 220 francs ;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