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D-2814/2012 vom 31. Mai 2012</w:t>
      </w:r>
    </w:p>
    <w:p>
      <w:r>
        <w:t>Bundesverwaltungsgericht, 2012-05-31, IT</w:t>
      </w:r>
    </w:p>
    <w:p>
      <w:r>
        <w:rPr>
          <w:b/>
        </w:rPr>
        <w:t xml:space="preserve">Quelle: </w:t>
      </w:r>
      <w:r>
        <w:t>https://mcp.opencaselaw.ch/entscheid/bvger_D-2814_2012</w:t>
      </w:r>
    </w:p>
    <w:p>
      <w:r>
        <w:t>FR: TAF D-2814/2012 du 31 mai 2012</w:t>
      </w:r>
    </w:p>
    <w:p>
      <w:r>
        <w:t>IT: TAF D-2814/2012 del 31 maggio 2012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 e la decisione impugnata è annullata.</w:t>
      </w:r>
    </w:p>
    <w:p>
      <w:r>
        <w:rPr>
          <w:b/>
        </w:rPr>
        <w:t>E. 2</w:t>
      </w:r>
    </w:p>
    <w:p>
      <w:r>
        <w:t>Gli atti di causa sono rinviati all'UFM per la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attribuiscono spese ripetibili.</w:t>
      </w:r>
    </w:p>
    <w:p>
      <w:r>
        <w:rPr>
          <w:b/>
        </w:rPr>
        <w:t>E. 5</w:t>
      </w:r>
    </w:p>
    <w:p>
      <w:r>
        <w:t>Questa sentenza è comunicata ai ricorrenti, all'UFM e all'autorità cantonale competente. Il giudice unico: La cancelliera: Pietro Angeli-Busi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