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D-2810/2011 vom 19. Dezember 2012</w:t>
      </w:r>
    </w:p>
    <w:p>
      <w:r>
        <w:t>Bundesverwaltungsgericht, 2012-12-19, DE</w:t>
      </w:r>
    </w:p>
    <w:p>
      <w:r>
        <w:rPr>
          <w:b/>
        </w:rPr>
        <w:t xml:space="preserve">Quelle: </w:t>
      </w:r>
      <w:r>
        <w:t>https://mcp.opencaselaw.ch/entscheid/bvger_D-2810_2011</w:t>
      </w:r>
    </w:p>
    <w:p>
      <w:r>
        <w:t>FR: TAF D-2810/2011 du 19 décembre 2012</w:t>
      </w:r>
    </w:p>
    <w:p>
      <w:r>
        <w:t>IT: TAF D-2810/2011 del 19 dicembre 2012</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Den Akten lässt sich das exakte Datum der Eröffnung der angefochte­nen Verfügung nicht entnehmen, da kein Rückschein der Post vorliegt. Aufgrund der Datierung des angefochtenen Entscheides sowie dem Aufgabedatum der Beschwerde ist jedoch von einer fristgerechten Eingabe auszugehen (vgl. dazu Art. 108 Abs. 1 AsylG i.V.m. Art. 20 Abs. 1 und 3 VwVG). Nachdem sich die Eingabe im Weiteren als formgerecht erweist (Art. 52 Abs. 1 VwVG) und der Beschwerdeführer legitimiert ist (Art. 48 Abs.1 VwVG), ist auf die Beschwerde einzutreten.</w:t>
      </w:r>
    </w:p>
    <w:p>
      <w:r>
        <w:rPr>
          <w:b/>
        </w:rPr>
        <w:t>E. 2</w:t>
      </w:r>
    </w:p>
    <w:p>
      <w:r>
        <w:t>Vom Beschwerdeführer wird namentlich geltend gemacht, vom BFM sei der massgebliche Sachverhalt unrichtig respektive ungenügend festgestellt worden, was zu unzutreffenden Folgerungen des Bundesamtes be­treffend die angebliche Unglaubhaftigkeit seiner Gesuchsvorbringen geführt habe. Der Sachverhalt sei damit ungenügend beziehungsweise unangemessen im Sinne der Bestimmung von Art. 106 Abs. 1 Bst. b und Bst. c AsylG festgestellt worden. In Zusammenhang mit den diesbezüglichen Beschwerdevorbringen ist jedoch festzuhalten, dass der Beschwerdeführer in seinen Ausführungen die Frage der Feststellung des rechtserheblichen Sachverhalts mit der Frage der rechtlichen Würdigung der Sache vermengt. Aufgrund der vorliegenden Akten ist der entscheidrelevante Sachverhalt ohne weiteres als vollständig erstellt zu erkennen, weshalb eine Rückweisung der Sache ans BFM zwecks Vornahme weiterer Sachverhaltsabklärungen ausser Betracht fällt und das Gericht einen Entscheid in der Sache zu fällen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Rahmen der Begründung der angefochtenen Verfügung erklärt das BFM die Gesuchsvorbringen als unglaubhaft, wobei es dem Beschwerdeführer vorab entgegenhält, er habe im Verlauf des erstinstanzlichen Verfahrens die behauptete Ereigniskette vom Frühjahr 2009 in wesentlichen Punkten unterschiedlich dargestellt. So habe er beispielsweise erst im Rahmen der einlässlichen Anhörung über mehrere Besuche von Seiten der PLOTE gesprochen und erst bei dieser Gelegenheit die bezahlte Bestechungssumme genannt. Zudem seien seine Schilderungen auch nicht hinreichend substanziiert, zumal er die angeblichen Besuche des Militärs, der PLOTE und der Leute im "White Van" bloss allgemein geschildert beziehungsweise ohne Detailreichtum und ohne Realkennzeichen geschildert habe. Schliesslich seien seine Vorbringen auch als erfahrungswidrig und unlogisch zu erkennen, zumal nicht nachvollziehbar sei, weshalb er erst im Jahre 2009 wegen seines Bruders hätte behelligt werden sollen. Da er in Y._______ ordentlich angemeldet gewesen sei, wäre den Behörden ein Zugriff schon viel früher möglich gewesen. Das jahrelange Desinteresse an seiner Person lasse darauf schliessen, dass er von den Behörden als unbescholtener Bürger betrachtet werde und diese ihn nicht im Umfeld der LTTE angesiedelt hätten. Zudem habe er im März 2009 auf seinem Weg nach Colombo mehrere Kontrollpunkte der srilankischen Ar­mee passieren müssen, was bei einem tatsächlichen Verdacht auf LTTE-Zugehörigkeit kaum möglich gewesen wäre. Unter Berücksichtigung dieser Umstände sei mit überwiegender Wahrscheinlichkeit davon auszugehen, dass von Seiten der srilankischen Behörden nichts gegen den Beschwerdeführer vorliege.</w:t>
      </w:r>
    </w:p>
    <w:p>
      <w:r>
        <w:rPr>
          <w:b/>
        </w:rPr>
        <w:t>E. 4.2</w:t>
      </w:r>
    </w:p>
    <w:p>
      <w:r>
        <w:t>Im Rahmen seiner Beschwerdebegründung hält der Beschwerdeführer an seinen Sachverhaltsschilderungen fest, wobei er ergänzend dazu auf eine umfangreiche Liste von Lage und Länderberichten verschiedener Menschenrechtsorganisationen und Hilfswerke zu Sri Lanka verweist. Vor diesem Hintergrund hält er dem BFM - dem wesentlichen Sinngehalt nach - eine mangelhafte Würdigung der rechtserheblichen Sachverhalts­momente entgegen, was zu unzutreffenden Feststellungen über die Glaubhaftigkeit seiner Vorbringen geführt habe. Dabei führt er an, vom Bundesamt werde im Resultat der unerträgliche psychische Druck, unter dem er stehe, sowie die konkrete Bedrohungssituation, in welcher er sich befinde, ignoriert. Gleichzeitig gehe das Bundesamt von einer zu positiven Einschätzung der Lage in seiner Heimat aus. Im Einzelnen erklärt er die vorinstanzlichen Schlüsse betreffend Unterschiede in seinen Vorbringen unter Verweis auf seine Schilderungen sowie den summarischen Charakter der Kurzbefragung als unbegründet, den Vorhalt einer angeblich mangelnden Substanziierung unter Verweis auf seine aktenkundigen Detailschilderungen als nicht nachvollziehbar und die vor­instanzlichen Ausführungen über Logik und Erfahrungswerte, welche seinen Schilderungen angeblich widersprechen würden, als nicht stichhaltig. Richtig sei vielmehr, dass er von den Behörden, der PLOTE und weiteren Personen beschuldigt worden sei, ein LTTE-Mitglied zu sein. Damit sei er in seiner Heimat in höchstem Masse gefährdet, zumal neuere Berichte zu Sri Lanka gezeigt hätten, dass sich die Situation für die tamilische Bevölkerung und insbesondere für mutmassliche LTTE-Sym­pathisanten seit seiner Ausreise respektive seit Ende des Krieges keineswegs verbessert hätten. Aufgrund der in seiner Heimat weiterhin herrschenden Verhältnisse erfülle er sämtliche Voraussetzungen an die Erteilung einer Asylgewährung, wogegen der angefochtene Entscheid mit den massgeblichen asylrechtlichen Bestimmungen, dem Willkürverbot sowie den verfahrensrechtlichen Garantien nicht in Einklang zu bringen sei.</w:t>
      </w:r>
    </w:p>
    <w:p>
      <w:r>
        <w:rPr>
          <w:b/>
        </w:rPr>
        <w:t>E. 5.1</w:t>
      </w:r>
    </w:p>
    <w:p>
      <w:r>
        <w:t>Die Vorinstanz hält dem Beschwerdeführer eine mangelnde Substanziierung seiner Gesuchsvorbringen entgegen, namentlich in Bezug auf die Besuche des Militärs, der PLOTE und der Leute im "White Van". Dieser Vorhalt überzeugt allerdings nur bedingt. So hat der Beschwerdeführer vorgebracht, Ende Januar 2009 sei es am Wohnort seiner Familie zu einem vom Militär und der Polizei gemeinsam durchgeführten "Round-Up" gekommen, bei welchem ihr Haus durchsucht und sie befragt worden seien. Seine diesbezüglichen Ausführungen sind zwar nicht sehr detailliert, weisen aber immerhin einige Realkennzeichen auf (vgl. ... ). Ebenfalls kann nicht ausgeschlossen werden, dass der Beschwerdeführer und seine Familie einer Erpressung durch Mitglieder der PLOTE ausgesetzt waren, zumal diese für ein entsprechendes Vorgehen bekannt sind (vgl. ... ). Die Vorinstanz hat dann aber zu Recht festgestellt, dass der Beschwerdeführer zur Furcht vor einer Entführung durch Personen in einem "weissen Van", zu keinen nachvollziehbaren Schilderungen in der Lage war. Seine diesbezüglichen Ausführungen weisen - wie vom BFM erwogen - weder einen hinreichenden Detailreichtum, noch Realkennzeichen auf. Zudem hat sich der Beschwerdeführer in diesem Punkt im Verlauf der Anhörung in Widersprüche verstrickt (vgl. ... ). Vor allem aber können seine Ausführungen namentlich in zeitlicher Hinsicht nicht überzeugen, da nicht nachvollziehbar ist, dass seine Mutter nach dem ersten Auftreten der "White Van"-Leute innert kürzester Zeit die gesamte Ausreise des Beschwerdeführers organisiert haben soll. Mithin darf ausgeschlossen werden, dass in nur zwei Tagen von der Mutter ein Schlepper kontaktiert und notwendigerweise auch bezahlt wurde, damit dieser ein Flugticket kaufen konnte, welches dem Militär vorgelegt werden konnte, da nur gegen Vorlage des Tickets ein Passierschein ausgestellt worden sei (vgl. ... ). Gänzlich offen bleibt schliesslich, wann und auf welchem Weg der Beschwerdeführer sein italienisches Visum erlangt hat. Alle diese Punkte bedingen eine erhebliche Vorbereitungszeit, weshalb auszuschliessen ist, dass er wegen einer angeblichen Vorsprache von "White Van"-Leuten innert kürzester Zeit von X._______ nach Colombo abreiste. Im Resultat ist vielmehr davon auszugehen, die Ausreise des Beschwerdeführers sei schon längere Zeit geplant worden.</w:t>
      </w:r>
    </w:p>
    <w:p>
      <w:r>
        <w:rPr>
          <w:b/>
        </w:rPr>
        <w:t>E. 5.2</w:t>
      </w:r>
    </w:p>
    <w:p>
      <w:r>
        <w:t>Nach dem Gesagten ist demnach nicht auszuschliessen, dass es am Wohnort des Beschwerdeführers einmal zu einer Hausdurchsuchung und einer Befragung von Seiten des Militärs und der Polizei kam. Auch ist anzumerken, dass in dem vom Beschwerdeführer geltend gemachten Zeitraum - vor dem Hintergrund der damaligen Verhältnisse in Sri Lanka - das Erpressen von Schutzgeld für die PLOTE eine bekannte Einnahmequelle war. Anlass für Schutzgelderpressungen konnte aber bereits sein, dass - wie im Falle des Beschwerdeführers - Verwandte im Ausland lebten. Das Bestehen einer landesweiten und intensiven Verfolgung vermochte der Beschwerdeführer jedoch nicht glaubhaft zu machen. Aus einer kurzen Einvernahme durch die Sicherheitsbehörden (diese habe offenbar nur zwei Stunden gedauert) kann jedenfalls nicht geschlossen werden, dass von dieser Seite ein ernsthaftes Interessen am Beschwerdeführer und seiner Familie bestand. Der Beschwerdeführer wurde offensichtlich von den Behörden nicht als potentielles LTTE-Mitglied eingeschätzt. Eine ernsthafte Reflexverfolgung allein wegen seines Bruders kann sodann ausgeschlossen werden, zumal ein anderer Bruder offenbar ohne Probleme im Staatsdienst tätig war. Das Desinteresse der Behörden wird auch dadurch bestätigt, dass dem Beschwerdeführer und seiner Mutter Passierscheine nach Colombo ausgestellt und ihnen an den Kontrollpunkten offensichtlich keine Schwierigkeiten bereitet wurden. Auch von Seiten der PLOTE vermochte der Beschwerdeführer kein landesweites Verfolgungsinteresse glaubhaft zu machen. Aufgrund des mangelnden politischen Profils des Beschwerdeführers hätte er sich vielmehr allfälligen Erpressungsversuchen ohne weiteres durch eine innerstaatliche Wohnsitzverlegung entziehen können.</w:t>
      </w:r>
    </w:p>
    <w:p>
      <w:r>
        <w:rPr>
          <w:b/>
        </w:rPr>
        <w:t>E. 5.3</w:t>
      </w:r>
    </w:p>
    <w:p>
      <w:r>
        <w:t>Die Situation im Heimatstaat des Beschwerdeführers hat sich sodann seit seiner Ausreise tendenziell weiter verbessert, weshalb auch vor diesem Hintergrund eine Gefahr für den Beschwerdeführer vor ernsthaften Nachteilen im Sinne des Art. 3 AsylG ausgeschlossen werden kann. Das Bundesverwaltungsgericht nahm in BVGE 2011/24 zur Frage der Gefährdung von Asylsuchenden aus Sri Lanka eine Lageanalyse vor. Es definierte Personenkreise, welche immer noch oder neuerdings einer erhöhten Verfol­gungsgefahr ausgesetzt sein könnten. Dazu zählen unter anderem Personen, die auch nach Beendigung des Bürgerkriegs verdächtigt werden, mit den LTTE in Verbindung zu stehen oder gestanden zu haben, ebenso wie Anhänger des Ex-Armeegenerals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(vgl. a.a.O. E. 8). Auch der EGMR hat sich wiederholt mit der Gefähr­dungssituation namentlich für Tamilen, die aus einem europäischen Land nach Sri Lanka zurückkehren müssen,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in seiner Einschätzung, dass nicht in genereller Weise davon auszugehen sei, dass zurückkehrende Tamilen gefährdet sind, sondern eine entsprechende Risikoeinschätzung vielmehr verschiedene Faktoren in Betracht ziehen müsse,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diese einzelnen Faktoren für sich alleine betrachtet möglicherweise keine Gefahr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 Aus den Akten ergibt sich auch unter Berücksichtigung der erwähnten Risikofaktoren kein Hinweis darauf, der Beschwerdeführer könnte im Falle der Rückkehr das Interesse der Sicherheitsbehörden auf sich ziehen. Selbst wenn nicht ausgeschlossen werden kann, dass einer seiner Brüder bei den LTTE tätig war, lässt sich allein daraus keine Gefährdungssituation ableiten, zumal der Beschwerdeführer im Zeitpunkt der Ausreise gemäss den vorangehenden Ausführungen nicht in den Fokus der Behör­den gelangt war und er darüber hinaus keinerlei Risikoprofil aufweist. Schliesslich leben verschiedene seiner Angehörigen offensichtlich nach wie vor im Heimatstaat, ohne dass diese wegen des Bruders behelligt worden wären.</w:t>
      </w:r>
    </w:p>
    <w:p>
      <w:r>
        <w:rPr>
          <w:b/>
        </w:rPr>
        <w:t>E. 5.4</w:t>
      </w:r>
    </w:p>
    <w:p>
      <w:r>
        <w:t>Nach vorstehenden Erwägungen konnte eine flüchtlingsrechtlich relevante Gefährdungslage für den Zeitpunkt der Ausreise nicht glaubhaft ge­macht werden und auch für den heutigen Zeitpunkt ist nicht von dem Beschwerdeführer drohenden ernsthaften Nachteilen im Falle der Rückkehr auszugehen.</w:t>
      </w:r>
    </w:p>
    <w:p>
      <w:r>
        <w:rPr>
          <w:b/>
        </w:rPr>
        <w:t>E. 5.5</w:t>
      </w:r>
    </w:p>
    <w:p>
      <w:r>
        <w:t>Nach dem Gesagten hat das BFM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daher zu Recht angeordnet (vgl. BVGE 2009/50 E.9.2 S. 733 sowie Entscheidungen und Mitteilungen der vormaligen Schweizerischen Asylrekurskommission [EMARK] 2001 Nr. 21).</w:t>
      </w:r>
    </w:p>
    <w:p>
      <w:r>
        <w:rPr>
          <w:b/>
        </w:rPr>
        <w:t>E. 7</w:t>
      </w:r>
    </w:p>
    <w:p>
      <w:r>
        <w:t>Ist der Vollzug der Wegweisung nicht zulässig, nicht zumutbar oder nicht möglich, so regelt das BFM das Anwesenheitsverhältnis nach den Bestimmungen über die vorläufige Aufnahme von Ausländern (Art. 44 Abs. 2 AsylG i.V.m. Art. 83 Abs. 1 des Bundesgesetzes vom 16. Dezember 2005 über die Ausländerinnen und Ausländer [AuG, SR 142.20]).</w:t>
      </w:r>
    </w:p>
    <w:p>
      <w:r>
        <w:rPr>
          <w:b/>
        </w:rPr>
        <w:t>E. 7.1.1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der Bundesverfassung der Schweizerischen Eidgenossenschaft vom 18. April 1999 (BV, SR 101), Art. 1 des Übereinkommens vom 10. Dezember 1984 gegen Folter und andere grausame, unmenschliche oder erniedrigende Behandlung oder Strafe (FoK, SR 0.105) und der Praxis zu Art. 3 der Konvention vom 4. November 1950 zum Schutze der Menschenrechte und Grundfreiheiten (EMRK, SR 0.101) darf sodann niemand in einen Staat ausgeschafft werden, in dem ihm Folter oder eine andere Art unmenschlicher oder erniedrigender Strafe oder Behandlung droht.</w:t>
      </w:r>
    </w:p>
    <w:p>
      <w:r>
        <w:rPr>
          <w:b/>
        </w:rPr>
        <w:t>E. 7.1.2</w:t>
      </w:r>
    </w:p>
    <w:p>
      <w:r>
        <w:t>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 Sodann ergeben sich weder aus den Aussagen des Beschwerdeführers noch aus den Akten Anhaltspunkte dafür, dass er für den Fall einer Ausschaffung in den Heimatstaat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Wie bereits ausgeführt, gibt es aufgrund des Profils des Beschwerdeführers keinen Anlass zur Annahme, der Beschwerdeführer könnte das Interesse der heimatlichen Sicherheitsbehörden oder anderer Gruppierungen auf sich ziehen, womit keine Gefahr einer menschenrechtswidrigen Behandlung zu erkennen ist. In dieser Hinsicht vermögen auch seine Hinweise auf die allgemeine Situation in Sri Lanka zu keiner anderen Beurteilung des Sachverhaltes zu führen.</w:t>
      </w:r>
    </w:p>
    <w:p>
      <w:r>
        <w:rPr>
          <w:b/>
        </w:rPr>
        <w:t>E. 7.1.3</w:t>
      </w:r>
    </w:p>
    <w:p>
      <w:r>
        <w:t>Nach dem Gesagten ist der Vollzug der Wegweisung sowohl im Sin­ne der asyl- als auch der völkerrechtlichen Bestimmungen zulässig.</w:t>
      </w:r>
    </w:p>
    <w:p>
      <w:r>
        <w:rPr>
          <w:b/>
        </w:rPr>
        <w:t>E. 7.2.1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7.2.2</w:t>
      </w:r>
    </w:p>
    <w:p>
      <w:r>
        <w:t>Im bereits erwähnten Urteil BVGE 2011/24 (Grundsatzurteil) hat das Bundesverwaltungsgericht eine aktuelle Lagebeurteilung vorgenommen, da sich die Lage in Sri Lanka nach dem Ende des srilankischen Bürgerkriegs im Mai 2009 massgeblich verändert hatte. Dabei ist das Bundesverwaltungsgericht im Wesentlichen zum Schluss gelangt, dass der Weg­weisungsvollzug nach Sri Lanka - mit Ausnahme des sogenannten "Vanni-Gebietes" - grundsätzlich zumutbar ist, jedoch im Falle von Personen, welche aus der Nordprovinz stammen und längere Zeit nicht mehr dort ansässig waren, die aktuellen Lebens- und Wohnverhältnisse sorgfältig abzuklären sind (vgl. für die Einschätzung der verschiedenen Landesteile BVGE 2011/24 E. 13).</w:t>
      </w:r>
    </w:p>
    <w:p>
      <w:r>
        <w:rPr>
          <w:b/>
        </w:rPr>
        <w:t>E. 7.2.3</w:t>
      </w:r>
    </w:p>
    <w:p>
      <w:r>
        <w:t>Der Beschwerdeführer stammt aus der Nordprovinz, wo er die letzten Jahre vor seiner Ausreise aus Sri Lanka im Frühjahr 2009 in der Ortschaft Y._______ bei X._______ wohnhaft war. Dieser Ort liegt südlich des sogenannten "Vanni-Gebietes" und befand sich schon Jahre vor der Ausreise des Beschwerdeführers unter Regierungskontrolle. Gleichzeitig ist aufgrund der Akten zu schliessen, der Beschwerdeführer sei dort bestens integriert gewesen. Nachdem er in X._______ seine technische Ausbildung absolviert hatte, war er dort mehrere Jahre in vorgesetzter Funktion in der Bauwirtschaft tätig. Da er dort ordentlich bei den Behörden angemeldet gewesen sei, habe er auch über das Stimmrecht in X._______ verfügt. Soweit ersichtlich sind auch seine Eltern weiterhin am bisherigen Wohnort ansässig. Diese Umstände sprechen nach der jüngsten Praxis zweifels­ohne für die Möglichkeit einer Reintegration am bisherigen Heimatort und damit für die Zumutbarkeit des Wegweisungsvollzuges nach Sri Lanka, zumal der Beschwerdeführer im Falle einer Rückkehr auch auf die Unterstützung seiner Angehörigen sowohl in der Schweiz (sein Bruder F._______) als auch in Sri Lanka (namentlich sein Bruder D._______) zählen dürfte.</w:t>
      </w:r>
    </w:p>
    <w:p>
      <w:r>
        <w:rPr>
          <w:b/>
        </w:rPr>
        <w:t>E. 7.2.4</w:t>
      </w:r>
    </w:p>
    <w:p>
      <w:r>
        <w:t>Nach dem Gesagten ist der Vollzug der Wegweisung auch als zumutbar zu erkennen.</w:t>
      </w:r>
    </w:p>
    <w:p>
      <w:r>
        <w:rPr>
          <w:b/>
        </w:rPr>
        <w:t>E. 7.3</w:t>
      </w:r>
    </w:p>
    <w:p>
      <w:r>
        <w:t>Schliesslich ist auch von der Möglichkeit des Wegweisungsvollzuges auszugehen (Art. 83 Abs. 2 AuG), zumal es dem Beschwerdeführer obliegt, bei der Beschaffung von Reisepapiere mitzuwirken (Art. 8 Abs. 4 AsylG; vgl. dazu auch BVGE 2008/34 E. 12 S. 513 f.).</w:t>
      </w:r>
    </w:p>
    <w:p>
      <w:r>
        <w:rPr>
          <w:b/>
        </w:rPr>
        <w:t>E. 7.4</w:t>
      </w:r>
    </w:p>
    <w:p>
      <w:r>
        <w:t>Der Wegweisungsvollzug nach Sri Lanka ist damit als zulässig, zumutbar und möglich zu erkennen, womit die Anordnung einer vorläufigen Aufnahme in der Schweiz ausser Betracht fällt (Art. 83 Abs. 1-4 AuG).</w:t>
      </w:r>
    </w:p>
    <w:p>
      <w:r>
        <w:rPr>
          <w:b/>
        </w:rPr>
        <w:t>E. 8</w:t>
      </w:r>
    </w:p>
    <w:p>
      <w:r>
        <w:t>Nach vorstehenden Erwägungen ist festzustellen,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desselben dem Beschwerdeführer aufzuerlegen (Art. 63 Abs. 1 und 5 VwVG; Art. 1-3 des Reglements vom 21. Februar 2008 über die Kosten und Entschädigungen vor dem Bundesverwaltungsgericht [VGKE, SR 173.320.2]). Nachdem jedoch mit Verfügung vom 20. Mai 2011 dem Gesuch um Erlass der Verfahrenskosten im Sinne von Art. 65 Abs. 1 VwVG entsprochen wurde,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