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D-2803/2019 vom 29. August 2019</w:t>
      </w:r>
    </w:p>
    <w:p>
      <w:r>
        <w:t>Bundesverwaltungsgericht, 2019-08-29, DE</w:t>
      </w:r>
    </w:p>
    <w:p>
      <w:r>
        <w:rPr>
          <w:b/>
        </w:rPr>
        <w:t xml:space="preserve">Quelle: </w:t>
      </w:r>
      <w:r>
        <w:t>https://mcp.opencaselaw.ch/entscheid/bvger_D-2803_2019</w:t>
      </w:r>
    </w:p>
    <w:p>
      <w:r>
        <w:t>FR: TAF D-2803/2019 du 29 août 2019</w:t>
      </w:r>
    </w:p>
    <w:p>
      <w:r>
        <w:t>IT: TAF D-2803/2019 del 29 agosto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Die Kognition des Bundesverwaltungsgerichts und die zulässigen Rügen richten sich im Asylbereich nach Art. 106 Abs. 1 AsylG und im Bereich des Ausländerrechts nach Art. 49 VwVG (BVGE 2014/26 E. 5).</w:t>
      </w:r>
    </w:p>
    <w:p>
      <w:r>
        <w:rPr>
          <w:b/>
        </w:rPr>
        <w:t>E. 1.4</w:t>
      </w:r>
    </w:p>
    <w:p>
      <w:r>
        <w:t>Am 1. März 2019 ist die Änderung des AsylG vom 25. September 2015 abschliessend in Kraft getreten. Im vorliegenden Verfahren gilt jedoch das bisherige Recht (vgl. Abs. 1 der Übergangsbestimmungen zur genannten Änderung).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1.6</w:t>
      </w:r>
    </w:p>
    <w:p>
      <w:r>
        <w:t>Bezüglich des Eventualantrags, es sei die aufschiebende Wirkung der Beschwerde wiederherzustellen, ist festzuhalten, dass der Beschwerde von Gesetzes wegen aufschiebende Wirkung zukommt (Art. 55 Abs. 1 VwVG) und die Vorinstanz diese vorliegend nicht entzogen hat. Deshalb ist auf den Verfahrensantrag bezüglich Wiederherstellung der aufschiebenden Wirkung nicht einzutreten.</w:t>
      </w:r>
    </w:p>
    <w:p>
      <w:r>
        <w:rPr>
          <w:b/>
        </w:rPr>
        <w:t>E. 1.7</w:t>
      </w:r>
    </w:p>
    <w:p>
      <w:r>
        <w:t>Dem Antrag des Beschwerdeführers auf Koordination des vorliegenden Verfahrens mit demjenigen seines volljährigen Bruders wird vorliegend durch die gleichzeitige Entscheidfindung entsprochen.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m.w.H., BVGE 2012/5 E. 2.2).</w:t>
      </w:r>
    </w:p>
    <w:p>
      <w:r>
        <w:rPr>
          <w:b/>
        </w:rPr>
        <w:t>E. 4</w:t>
      </w:r>
    </w:p>
    <w:p>
      <w:r>
        <w:t>Zur Begründung des angefochtenen Entscheids führte das SEM im Rahmen einer detaillierten Auseinandersetzung aus, die zentralen Vorbringen des Beschwerdeführers seien derart emotionslos, schematisch und knapp vorgetragen worden, dass diese bereits deshalb nicht geglaubt werden könnten. Auch auf Nachfrage seien die Vorbringen nicht detaillierter ausgefallen. Insbesondere als der Beschwerdeführer aufgefordert worden sei, den fluchtauslösenden Streit und den Hergang der zweimaligen Verletzung zu schildern (A20 S12f.), seien die Vorbringen äusserst vage und unsubstanziiert geblieben. So würden seine Ausführungen jeglichen Detailreichtum und persönlichen Bezug vermissen lassen und enthielten keinerlei Realkennzeichen. Der Schluss liege demnach nahe, dass er die erwähnten Ereignisse nicht selber erlebt habe, sondern einen konstruierten Sachverhalt nacherzähle. Des Weiteren hätten sich der Beschwerdeführer und sein Bruder bei ihren Kernvorbringen deutlich widersprochen. Der Beschwerdeführer habe ausgesagt, dass er sich nicht im familieneigenen Geschäft befunden habe, als dieses im Januar 2018 verwüstet worden sei (A20 S.12). Sein Bruder H. habe dazu im Widerspruch in seinem schriftlichen Asylgesuch festgehalten, dass er dort gewesen sei (B8 S.2). Nachdem der Beschwerdeführer auf diesen Widerspruch hingewiesen worden sei, habe dieser betont, er habe den Laden bereits zerstört vorgefunden. Da diese Angelegenheit jedoch bereits vor Langem passiert sei, habe H. wahrscheinlich vergessen, wie es sich wirklich zugetragen habe (A20 S.14). Dieser Erklärungsversuch überzeuge keinesfalls. Zwischen der Verwüstung des Ladens im Januar 2018, der Stellung des schriftlichen Asylgesuchs seines Bruders H. vom 20. September 2018 und der Anhörung des Beschwerdeführers am 19. Oktober 2018 seien lediglich acht bis neun Monate vergangen. H. habe zwar sein angebliches Entlassungsgesuch im Original nachgereicht, dessen angeblich amtliche Herkunft sei indessen mehr als zweifelhaft. Was die eingereichten Fotos eines verwüsteten Früchte- und (...)ladens betreffe, so sei weder klar, wann noch wo diese Bilder gemacht worden seien. Es gebe keinerlei Hinweise darauf, dass es sich beim abgebildeten zerstörten Geschäft wirklich um den Laden der Familie handle. Da seine Vorbringen somit den Anforderungen an die Glaubhaftigkeit nicht standhielten, müsse deren Asylrelevanz nicht geprüft werden. Weiter gelte es festzustellen, dass es sich bei den geltend gemachten Problemen mit der Familie von D. ohnehin um lokal begrenzte Übergriffe von privaten Drittpersonen handeln würde. Der Beschwerdeführer erfülle demzufolge die Flüchtlingseigenschaft nicht, so dass sein Asylgesuch abzulehnen sei. Schliesslich sei der Vollzug der Wegweisung zulässig, zumutbar und möglich.</w:t>
      </w:r>
    </w:p>
    <w:p>
      <w:r>
        <w:rPr>
          <w:b/>
        </w:rPr>
        <w:t>E. 4.1</w:t>
      </w:r>
    </w:p>
    <w:p>
      <w:r>
        <w:t>Dem entgegnete der Beschwerdeführer, er verstehe nicht, wieso sein Asylgesuch abgelehnt werde, obwohl sein Leben (und das seines Bruders) in der Heimat in Gefahr sei. Dies habe er mit zahlreichen Beweisen belegt. Das SEM führe im angefochtenen Entscheid zu Unrecht aus, dass er und sein Bruder sich widersprochen hätten, indem er gesagt habe, er sei nicht im Laden gewesen, als dieser verwüstet worden sei, sein Bruder indes ausgesagt habe, dass er zum Zeitpunkt der Verwüstung im Laden gewesen sei. Sein Bruder habe nämlich ausgesagt, dass er (der Beschwerdeführer) die Verwüstung des Ladens nicht erlebt habe, sondern dieser bereits verwüstet gewesen sei, als er ihn des Morgens habe öffnen wollen. Darauf sei sein Bruder H. ebenfalls zum Laden gekommen und der Kampf habe begonnen. Somit hätten sie beide das Gleiche gesagt, das SEM habe seinen Bruder lediglich falsch verstanden.</w:t>
      </w:r>
    </w:p>
    <w:p>
      <w:r>
        <w:rPr>
          <w:b/>
        </w:rPr>
        <w:t>E. 5.1</w:t>
      </w:r>
    </w:p>
    <w:p>
      <w:r>
        <w:t>Das Bundesverwaltungsgericht kommt nach Durchsicht der Akten mit dem SEM übereinstimmend zum Schluss, dass die Schilderungen des Beschwerdeführers zu seinen Problemen mit Drittpersonen aufgrund einer ausserehelichen Beziehung seines Bruders weder glaubhaft noch asylrelevant ausgefallen sind. Die Entgegnungen auf Beschwerdeebene sind nicht geeignet, die vorinstanzlichen Erwägungen umzustossen. Um Wiederholungen zu vermeiden, kann deshalb vorab auf die entsprechenden Erwägungen in der angefochtenen Verfügung verwiesen werden. Insbesondere fällt auf, dass der Beschwerdeführer für die Glaubhaftigkeit seiner Vorbringen als einziges Argument vorbringt, er und sein Bruder hätten sich nicht widersprochen. Um dies zu belegen, verweist er auf ein einziges Beispiel, bei dem sie beide angeblich das Gleiche gesagt hätten, das SEM jedoch seinen Bruder falsch verstanden habe (vgl. vorstehend E4.2). Der Erklärungsversuch steht jedoch in deutlichem Widerspruch zur Aktenlage. Der Bruder des Beschwerdeführers hat in seinem schriftlichen Asylgesuch festgehalten: "Der Bruder und [der] Cousin des Mädchens haben uns in unserem [...]laden angegriffen und es kam zu einer grossen Schlägerei. Der Laden wurde verwüstet. Mein Bruder A._______ (N [...]) war im Laden als der Laden angegriffen wurde". Somit hat es der Bruder des Beschwerdeführers in seinem schriftlichen Asylgesuch sogar hervorgehoben, dass der Beschwerdeführer zum Zeitpunkt des Überfalls im Laden gewesen sei. Das SEM hat den Bruder des Beschwerdeführers demzufolge nicht falsch verstanden, sondern die beiden Brüder haben sich widersprochen. Aufgrund dessen bestehen bereits grosse Zweifel an der Glaubhaftigkeit dieses Vorbringens. Weiter fällt auf, dass in der Beschwerdeeingabe auf die diversen weiteren Widersprüche, welche ihm zwischen seinen Vorbringen und denjenigen seines Bruders vorgeworfen werden, mit keinem Wort eingeht. Im Zusammenhang mit dem zentralen Asylvorbringen, dem fluchtauslösenden Streit zwischen den beiden Familien, erstaunt insbesondere, dass H. in seinem schriftlichen Asylgesuch vorgebracht hat, dass die Mitglieder der anderen Familie sie in ihrem Laden angegriffen hätten, im Gegensatz zum Beschwerdeführer der erzählt hat, sie hätten sich ein bis zwei Tage nach der Zerstörung ihres (...)ladens an den Mitgliedern der anderen Familie rächen wollen, worauf es zu einer schweren gewalttätigen Auseinandersetzung gekommen sei (S20 F83). Die Fluchtgeschichten der beiden Brüder widersprechen sich in sämtlichen Details. Vor dem Hintergrund der Tatsache, dass sie beide aus dem gleichen Grund geflohen sein wollen erstaunt dies sehr. Es entsteht der Eindruck, dass sich die beiden Brüder bezüglich ihrer Fluchtgründe abgesprochen aber zu wenig Augenmerk auf die Details gelegt hätten. Dieser Eindruck wird dadurch verstärkt, dass der Beschwerdeführer bei Fragen nach Details jeweils auswich. So konnte er beispielsweise auch auf wiederholtes Nachfragen keine nähere Beschreibung der abschliessenden Auseinandersetzung geben, oder zumindest davon, wie er verletzt worden sei (vgl. A20 F96-100). Die Vorbringen des Beschwerdeführers wirken konstruiert und es entsteht nicht der Eindruck, er habe die Nachstellungen durch die männlichen Familienmitglieder D.'s und die angeblich fluchtauslösende gewalttätige Auseinandersetzung, bei der er verletzt worden sei, wirklich erlebt. Schliesslich gilt es in Übereinstimmung mit dem SEM festzustellen, dass es sich bei den geltend gemachten Problemen mit der Familie von D. ohnehin um lokal begrenzte Übergriffe von privaten Drittpersonen handelt.</w:t>
      </w:r>
    </w:p>
    <w:p>
      <w:r>
        <w:rPr>
          <w:b/>
        </w:rPr>
        <w:t>E. 5.2</w:t>
      </w:r>
    </w:p>
    <w:p>
      <w:r>
        <w:t>Zusammenfassend hat der Beschwerdeführer nichts vorgebracht, das geeignet wäre, seine Flüchtlingseigenschaft zu belegen oder zumindest glaubhaft zu machen. Die Vorinstanz hat demzufolge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Urteil BVGE 2008/5 - in dem eine einlässliche Auseinandersetzung mit der Frage der Zumutbarkeit des Wegweisungsvollzugs in die drei damaligen kurdischen Provinzen des Nordiraks (E._______, Erbil, Suleimaniya) stattfand - hielt das Gericht fest, dass sich sowohl die Sicherheits- als auch die Menschenrechtslage in dieser Region im Verhältnis zum restlichen Irak relativ gut darstelle. Gestützt darauf kam es zum Schluss, dass ein Wegweisungsvollzug in diese Provinzen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Diese Praxis wurde im Referenzurteil des Bundesverwaltungsgerichts E-3737/2015 vom 14. Dezember 2015 für grundsätzlich weiterhin anwendbar erklärt. Es wurde festgehalten, dass in den vier Provinzen der KRG-Region - das betreffende Gebiet wird seit Anfang 2015 durch die Provinzen Dohuk, Erbil, Suleimaniya sowie der von Letzterer abgespalteten Provinz Halabja gebildet - nicht von einer Situation allgemeiner Gewalt im Sinne von Art. 83 Abs. 4 AIG auszugehen ist (vgl. ebenda E. 7.4). An dieser Einschätzung ändert auch das am 25. September 2017 in der KRG durchgeführte Referendum nichts, in welchem offenbar eine Mehrheit der Kurden für die Unabhängigkeit vom Irak votierte. Angesichts der Belastung der behördlichen Infrastrukturen durch intern vertriebene Personen ist allerdings jeweils der Prüfung des Vorliegens begünstigender individueller Faktoren - insbesondere derjenigen eines tragfähigen familiären Beziehungsnetzes - besonderes Gewicht beizumessen (vgl. Urteil des BVGer D-5193/2018 vom 16. Oktober 2018 E. 7.3.2 m.H.). Beim Beschwerdeführer handelt es sich um einen jungen, gesunden Mann, welcher bald volljährig wird. Er ist zusammen mit seinem ältesten Bruder in der Schweiz, mit welchem auch seine Wegweisung zu koordinieren sein wird, die restliche Familie lebt gemäss seinen Angaben in E._______. Seine Familie sei im Besitz von mehreren Geschäften und verfüge über einen ausgesprochen guten Zusammenhalt. Es ist somit davon auszugehen, dass der Beschwerdeführer in E._______ über ein tragfähiges Beziehungsnetz verfügt, welches in der Lage und willens ist, ihn bei seiner Wiedereingliederung zu unterstützen.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 soweit auf sie einzutreten ist, und die Verfügung des SEM zu bestätigen.</w:t>
      </w:r>
    </w:p>
    <w:p>
      <w:r>
        <w:rPr>
          <w:b/>
        </w:rPr>
        <w:t>E. 9.1</w:t>
      </w:r>
    </w:p>
    <w:p>
      <w:r>
        <w:t>Der Beschwerdeführer hat die Gewährung der unentgeltlichen Prozessführung (Art. 65 Abs. 1 VwVG) und der amtlichen Rechtsverbeiständung (aArt. 110a Abs. 1 AsylG) beantragt.</w:t>
      </w:r>
    </w:p>
    <w:p>
      <w:r>
        <w:rPr>
          <w:b/>
        </w:rPr>
        <w:t>E. 9.2</w:t>
      </w:r>
    </w:p>
    <w:p>
      <w:r>
        <w:t>Gemäss Art. 65 Abs. 1 VwVG wird eine Partei, die nicht über die erforderlichen Mittel verfügt, auf Antrag hin von der Bezahlung der Verfahrenskosten befreit, wenn ihre Begehren im Zeitpunkt der Gesucheinreichung nicht aussichtslos erscheinen. Nach den vorstehenden Erwägungen ist festzustellen, dass die Beschwerdebegehren als von vornherein aussichtslos zu bezeichnen waren, weshalb das Gesuch um Gewährung der unentgeltlichen Prozessführung - unbesehen einer allfälligen Mittellosigkeit - abzuweisen ist. Das Ersuchen um Verzicht auf die Erhebung eines Kostenvorschusses ist mit dem vorliegenden Urteil gegenstandslos geworden.</w:t>
      </w:r>
    </w:p>
    <w:p>
      <w:r>
        <w:rPr>
          <w:b/>
        </w:rPr>
        <w:t>E. 9.3</w:t>
      </w:r>
    </w:p>
    <w:p>
      <w:r>
        <w:t>Das Gesuch um amtliche Rechtsverbeiständung im Sinn von aArt. 110a Abs. 1 AsylG ist mangels Erfüllens der Voraussetzungen von Art. 65 Abs. 1 VwVG ebenfalls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