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D-279/2020 vom 29. Januar 2020</w:t>
      </w:r>
    </w:p>
    <w:p>
      <w:r>
        <w:t>Bundesverwaltungsgericht, 2020-01-29, DE</w:t>
      </w:r>
    </w:p>
    <w:p>
      <w:r>
        <w:rPr>
          <w:b/>
        </w:rPr>
        <w:t xml:space="preserve">Quelle: </w:t>
      </w:r>
      <w:r>
        <w:t>https://mcp.opencaselaw.ch/entscheid/bvger_D-279_2020</w:t>
      </w:r>
    </w:p>
    <w:p>
      <w:r>
        <w:t>FR: TAF D-279/2020 du 29 janvier 2020</w:t>
      </w:r>
    </w:p>
    <w:p>
      <w:r>
        <w:t>IT: TAF D-279/2020 del 29 gennaio 2020</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Für das vorliegende Verfahren gilt das bisherige Recht (vgl. Abs. 1 der Übergangsbestimmungen zur Änderung des AsylG vom 25. September 2015).</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2.1 Die Kognition des Bundesverwaltungsgerichts und die zulässigen Rügen richten sich nach Art. 106 Abs. 1 AsylG (vgl. BVGE 2014/26 E. 5).</w:t>
      </w:r>
    </w:p>
    <w:p>
      <w:r>
        <w:rPr>
          <w:b/>
        </w:rPr>
        <w:t>E. 2.2</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Nach Art. 51 Abs. 1 AsylG werden Ehegatten von Flüchtlingen und ihre minderjährigen Kinder als Flüchtlinge anerkannt und erhalten Asyl, wenn keine besonderen Umstände dagegen sprechen.</w:t>
      </w:r>
    </w:p>
    <w:p>
      <w:r>
        <w:rPr>
          <w:b/>
        </w:rPr>
        <w:t>E. 3.2</w:t>
      </w:r>
    </w:p>
    <w:p>
      <w:r>
        <w:t>Die Vorinstanz führte zur Begründung des angefochtenen Entscheids insbesondere an, ein Einbezug in das Familienasyl gemäss Art. 51 Abs. 1 AsylG setze einen Einbezug in die Flüchtlingseigenschaft des Angehörigen voraus. Verfüge eine Person bereits über die originäre Flüchtlingseigenschaft, könne sie keine zweite, derivative Flüchtlingseigenschaft erhalten. Da dem Beschwerdeführer gemäss Art. 3 i.V.m. Art. 54 AsylG die originäre Flüchtlingseigenschaft gewährt und das Asyl verweigert worden sei, könne ihm nicht gemäss Art. 51 Abs. 1 AsylG Asyl gewährt werden.</w:t>
      </w:r>
    </w:p>
    <w:p>
      <w:r>
        <w:rPr>
          <w:b/>
        </w:rPr>
        <w:t>E. 3.3</w:t>
      </w:r>
    </w:p>
    <w:p>
      <w:r>
        <w:t>Der Beschwerdeführer hält den Ausführungen der Vorinstanz im Wesentlichen entgegen, die Voraussetzungen von Art. 51 Abs. 1 AsylG seien vorliegend zweifelsfrei erfüllt, weshalb er in die Flüchtlingseigenschaft und in den Asylstatus seiner Partnerin und seiner beiden Kinder einzubeziehen sei. Die vom SEM zitierten Entscheide des Bundesverwaltungsgerichts träfen auf seinen Fall nicht zu, weil den Urteilen ein anderer Sachverhalt zu Grunde liege. Zudem stünde ein Nichteinbezug in die Flüchtlingseigenschaft und in den Asylstatus seiner Partnerin und seiner beiden Kinder dem Prinzip der Einheit der Familie nach Art. 44 AslyG beziehungsweise Art. 8 EMRK entgegen.</w:t>
      </w:r>
    </w:p>
    <w:p>
      <w:r>
        <w:rPr>
          <w:b/>
        </w:rPr>
        <w:t>E. 3.4</w:t>
      </w:r>
    </w:p>
    <w:p>
      <w:r>
        <w:t>Das Bundesverwaltungsgericht entschied mit BVGE 2015/40 über diesich vorliegend stellende Frage. Nach Vornahme einer umfassenden Auslegung der Art. 54 und 51 AsylG wurde geschlossen, einer Person, die die Flüchtlingseigenschaft originär gemäss Art. 3 AsylG erfülle, könne die Flüchtlingseigenschaft nicht (zusätzlich) derivativ zugesprochen und ihr folglich auch nicht derivativ Asyl gewährt werden (vgl. ebenda E. 3.1-3.5). Nach Art. 49 AsylG wird Personen Asyl gewährt, wenn sie die Flüchtlingseigenschaft besitzen und kein Asylausschlussgrund besteht. Art. 51 Abs. 1 AsylG ist keine Ausnahme von dieser Regel; die Bestimmung betrifft den Sonderfall des Familienasyls. Die Auslegung von Art. 51 Abs. 1 AsylG ergibt, dass eine Person, die aufgrund eigener Motive die Flüchtlingseigenschaft erfüllt, keinen Anspruch auf die derivative Flüchtlingseigenschaft hat (vgl. BVGE 2015/40, E. 3.4.4.1). Dies steht im Einklang mit den Art. 5 und 37 der Asylverordnung 1 vom 11. August 1999 (AsylV 1, SR 142.311), wonach der Einbezug in die Flüchtlingseigenschaft eines Familienmitglieds erst dann erfolgt, wenn die einzubeziehende Person die Flüchtlingseigenschaft nicht selbständig nach Art. 3 AsylG erfüllt (vgl. a.a.O., E. 3.4.2). Das Prinzip der Einheit des Status einer Familie nach Art. 51 AsylG gilt nicht absolut, wie der Nebensatz der «besonderen Umstände», die gegen einen Einbezug sprechen, zeigt. Zudem bezieht sich die Einheit des Status auf die Flüchtlingseigenschaft, und nicht auf das Asyl, welches einzig eine Folge der Anerkennung der Flüchtlingseigenschaft ist. Die Rechtsprechung hat ebenfalls bestätigt, dass die Gewährung von Asyl nicht mehr als eine akzessorische Folge der derivativen Zuerkennung der Flüchtlingseigenschaft ist (vgl. a.a.O., E. 3.4.4.4-3.4.4.6). Die angefochtene Verfügung steht im Einklang mit dem koordinierten Entscheid des Bundesverwaltungsgerichts. Die Einwendungen des Beschwerdeführers schlagen mithin fehl. Die Schlechterstellung im nationalen Recht (durch die Nichtgewährung des Asylstatus) von Flüchtlingen mit originärer Flüchtlingseigenschaft aufgrund subjektiver Nachfluchtgründe gegenüber solchen mit derivativer Flüchtlingseigenschaft ergibt sich aus der Gesetzessystematik und ist als durch den Gesetzgeber gewollt hinzunehmen (vgl. auch das bereits in der angefochtenen Verfügung zitierte Urteil des Bundesverwaltungsgerichts E-5410/2015 vom 20. Januar 2016, E. 3.4). In diesem Zusammenhang ist festzustellen, dass sich der Einwand in der Beschwerde, dass den vom SEM zitierten Entscheiden ein anderer Sachverhalt zu Grunde liege, als unzutreffend erweist respektive unbehelflich ist.</w:t>
      </w:r>
    </w:p>
    <w:p>
      <w:r>
        <w:rPr>
          <w:b/>
        </w:rPr>
        <w:t>E. 4</w:t>
      </w:r>
    </w:p>
    <w:p>
      <w:r>
        <w:t>Aus diesen Erwägungen ergibt sich, dass die angefochtene Verfügung Bundesrecht nicht verletzt und den rechtserheblichen Sachverhalt richtig sowie vollständig feststellt (Art. 106 Abs. 1 AsylG). Zur Rückweisung der Sache an die Vorinstanz besteht nach dem Gesagten kein Anlass. Die Beschwerde ist mithin abzuweisen. 5.Der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