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D-2799/2010 vom 14. Juni 2010</w:t>
      </w:r>
    </w:p>
    <w:p>
      <w:r>
        <w:t>Bundesverwaltungsgericht, 2010-06-14, FR</w:t>
      </w:r>
    </w:p>
    <w:p>
      <w:r>
        <w:rPr>
          <w:b/>
        </w:rPr>
        <w:t xml:space="preserve">Quelle: </w:t>
      </w:r>
      <w:r>
        <w:t>https://mcp.opencaselaw.ch/entscheid/bvger_D-2799_2010</w:t>
      </w:r>
    </w:p>
    <w:p>
      <w:r>
        <w:t>FR: TAF D-2799/2010 du 14 juin 2010</w:t>
      </w:r>
    </w:p>
    <w:p>
      <w:r>
        <w:t>IT: TAF D-2799/2010 del 14 giugno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et 83 let. d ch. 1 de la loi fédérale du 17 juin 2005 sur le Tribunal fédéral (LTF, RS 173.110).</w:t>
      </w:r>
    </w:p>
    <w:p>
      <w:r>
        <w:rPr>
          <w:b/>
        </w:rPr>
        <w:t>E. 1.2</w:t>
      </w:r>
    </w:p>
    <w:p>
      <w:r>
        <w:t>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Le Tribunal examine librement ces questions, sans être lié par les arguments invoqués à l'appui du recours (cf. 62 al. 4 PA par renvoi de l'art. 37 LTAF) ou par la motivation retenue par l'autorité de première instance (cf. ATAF 2007/41 consid. 2 p. 529).</w:t>
      </w:r>
    </w:p>
    <w:p>
      <w:r>
        <w:rPr>
          <w:b/>
        </w:rPr>
        <w:t>E. 1.3</w:t>
      </w:r>
    </w:p>
    <w:p>
      <w:r>
        <w:t>Les recourants ont qualité pour recourir (cf. art. 48 al. 1 let. a à c PA). Présenté dans la forme (cf. art. 52 PA) et le délai (cf. art. 108 al. 2 LAsi) prescrit par la loi, le recours est recevable.</w:t>
      </w:r>
    </w:p>
    <w:p>
      <w:r>
        <w:rPr>
          <w:b/>
        </w:rPr>
        <w:t>E. 2.1</w:t>
      </w:r>
    </w:p>
    <w:p>
      <w:r>
        <w:t>Selon l'art. 34 al. 2 let. d LAsi, l'ODM fédéral n'entre pas en matière sur une demande d'asile lorsque le requérant peut se rendre dans un Etat tiers compétent, en vertu d'un accord international, pour mener la procédure d'asile et de renvoi.</w:t>
      </w:r>
    </w:p>
    <w:p>
      <w:r>
        <w:rPr>
          <w:b/>
        </w:rPr>
        <w:t>E. 2.2</w:t>
      </w:r>
    </w:p>
    <w:p>
      <w:r>
        <w:t>En application de l'AAD,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Aux termes de l'art. 3 par. 1 de ce règlement, une demande d'asile est examinée par un seul Etat membre, celui-ci étant déterminé à l'aide des critères fixés par son chapitre III. La procédure de détermination de l'Etat responsable ne doit pas être confondue avec l'examen de la demande d'asile, par conséquent des motifs liés à celle-ci (cf. art. 5 par. 1 du règlement Dublin).</w:t>
      </w:r>
    </w:p>
    <w:p>
      <w:r>
        <w:rPr>
          <w:b/>
        </w:rPr>
        <w:t>E. 2.3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w:t>
      </w:r>
    </w:p>
    <w:p>
      <w:r>
        <w:rPr>
          <w:b/>
        </w:rPr>
        <w:t>E. 2.4</w:t>
      </w:r>
    </w:p>
    <w:p>
      <w:r>
        <w:t>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w:t>
      </w:r>
    </w:p>
    <w:p>
      <w:r>
        <w:rPr>
          <w:b/>
        </w:rPr>
        <w:t>E. 2.5</w:t>
      </w:r>
    </w:p>
    <w:p>
      <w:r>
        <w:t>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w:t>
      </w:r>
    </w:p>
    <w:p>
      <w:r>
        <w:rPr>
          <w:b/>
        </w:rPr>
        <w:t>E. 3.1</w:t>
      </w:r>
    </w:p>
    <w:p>
      <w:r>
        <w:t>En l'occurrence, il est établi que les intéressés ont tous deux déposé une demande d'asile en Bulgarie, le 24 octobre 2008. Des doutes subsistent toutefois en ce qui concerne l'issue de ces procédures. Selon A._______, sa demande aurait reçu une réponse positive. B._______ n'a pas été aussi affirmative dans ses déclarations, mais n'a pas fait état d'un rejet de sa demande d'asile. Est demeuré en revanche constant et concordant le fait que les intéressés n'ont pas été contraints de quitter le territoire bulgare et qu'ils étaient même autorisés à y résider. Il apparaît surtout que les recourants, dont le Tribunal n'a a priori aucune raison de mettre en doute les allégations, y ont chacun obtenu un document de voyage, dont la dénomination donnée ("Trafic document") est erronée. Or, en Bulgarie, de tels documents sont délivrés aux réfugiés reconnus ou aux étrangers ayant acquis un statut de résidence à titre humanitaire. De son côté, l'Etat bulgare a accepté de réadmettre les requérants sur son territoire, en application de l'art. 16 par. 1 point e) du règlement Dublin. Ce constat permet d'écarter, sauf erreur de cet Etat dans sa communication du 26 janvier 2010, la thèse selon laquelle les intéressés ont été reconnus comme réfugiés et ont obtenu l'asile en Bulgarie. Il ne permet cependant pas d'éliminer celle selon laquelle ils y ont été mis au bénéfice d'une autorisation de séjour pour motif humanitaire. Cette dernière hypothèse est même la seule qui concilie les déclarations des requérants avec les raisons avancées par la Bulgarie pour accepter sa compétence. En effet, les recourants étant titulaire d'un titre de séjour en cours de validité, étant rappelé que l'autorisation de se maintenir sur le territoire d'un pays dans le cadre d'une protection provisoire constitue un tel titre (cf. art. 2 point j) du règlement Dublin), il n'y avait pas à déterminer s'ils avaient quitté le territoire des Etats membres pendant une durée d'au moins trois mois (cf. art. 16 par. 3 du règlement Dublin). A défaut d'une telle autorisation, l'Etat bulgare n'aurait pas sans autres admis sa compétence et n'aurait certainement pas manqué de requérir auprès des autorités suisses des complétements d'information sur un éventuel séjour des intéressés à l'étranger. Or il n'en a rien fait.</w:t>
      </w:r>
    </w:p>
    <w:p>
      <w:r>
        <w:rPr>
          <w:b/>
        </w:rPr>
        <w:t>E. 3.2</w:t>
      </w:r>
    </w:p>
    <w:p>
      <w:r>
        <w:t>En l'état, le Tribunal considère donc que la Bulgarie est compétente pour l'examen de la demande d'asile des recourants.</w:t>
      </w:r>
    </w:p>
    <w:p>
      <w:r>
        <w:rPr>
          <w:b/>
        </w:rPr>
        <w:t>E. 4.1</w:t>
      </w:r>
    </w:p>
    <w:p>
      <w:r>
        <w:t>Cela dit, ceux-ci soutiennent qu'en cas de transfert en Bulgarie, ils seront confrontés à un fort risque de mise en détention et condamnés quoi qu'il en soit à vivre dans des conditions de vie particulièrement difficiles.</w:t>
      </w:r>
    </w:p>
    <w:p>
      <w:r>
        <w:rPr>
          <w:b/>
        </w:rPr>
        <w:t>E. 4.2</w:t>
      </w:r>
    </w:p>
    <w:p>
      <w:r>
        <w:t>A cet égard, force est de constater que la Bulgarie est signataire notamment de la Convention de sauvegarde des droits de l'homme et des libertés fondamentales du 4 novembre 1950 (CEDH, RS 0.101) et qu'à ce titre, elle se doit de ne pas laisser infliger à des personnes des tortures ou des traitements dégradants et inhumains. Amnesty International a certes dénoncé des situations alarmantes en ce qui concerne notamment la mise en détention de requérants d'asile en attente d'être expulsés. La situation des recourants, qui ont obtenu un droit de résidence, est cependant différente, de sorte que la crainte d'un emprisonnement n'est chez eux pas fondée. La Bulgarie a par ailleurs été confrontée ces dernières années aux difficultés liées à une capacité d'accueil limitée des requérants d'asile. Cette situation a, semble-t-il, eu pour conséquence un durcissement des autorités dans le traitement des demandes de protection. Ce durcissement a notamment vu grandir la crainte de demandeurs irakiens de se voir refuser la possibilité de demeurer dans le pays, alors qu'avant 2007, une autorisation de résidence à titre humanitaire leur était aisément accordée. Le HCR a constaté un besoin, dans la sous-région d'Europe centrale dont fait partie la Bulgarie, d'améliorer les conditions d'accueil des demandeurs d'asile, décidant de travailler dès 2010 avec des partenaires gouvernementaux et non-gouvernementaux dans le but d'apporter les corrections nécessaires. En l'espèce, les recourants, pourtant arrivés sur territoire bulgare dans une période critique, y ont obtenu un droit de résidence. Ils n'ont probablement pas bénéficié de bonnes conditions d'encadrement. Il n'est pas possible, toutefois, de conclure qu'ils se sont trouvés dans une situation de précarité telle que leurs vies ou leurs intégrités physiques et psychiques ont gravement été mises en danger. Ils ont en effet profité de moyens mis à disposition par leur famille en Irak pour mener une existence décente et effectuer plusieurs grands voyages, moyens dont ils peuvent encore disposer.</w:t>
      </w:r>
    </w:p>
    <w:p>
      <w:r>
        <w:rPr>
          <w:b/>
        </w:rPr>
        <w:t>E. 4.3</w:t>
      </w:r>
    </w:p>
    <w:p>
      <w:r>
        <w:t>Le transfert des intéressés vers la Bulgarie, qui accepté de les reprendre en charge, s'avère ainsi licite, exigible et possible.</w:t>
      </w:r>
    </w:p>
    <w:p>
      <w:r>
        <w:rPr>
          <w:b/>
        </w:rPr>
        <w:t>E. 5</w:t>
      </w:r>
    </w:p>
    <w:p>
      <w:r>
        <w:t>Au vu de ce qui précède, c'est à juste titre que l'ODM n'est pas entré en matière sur la demande d'asile des intéressés, sur la base de l'art. 34 al. 2 let. d LAsi, a prononcé leur renvoi de Suisse ainsi que l'exécution de cette mesure. Il s'ensuit que le recours doit être rejeté.</w:t>
      </w:r>
    </w:p>
    <w:p>
      <w:r>
        <w:rPr>
          <w:b/>
        </w:rPr>
        <w:t>E. 6</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La demande d'assistance judiciaire partielle déposée simultanément au recours doit cependant être admise, les conditions de l'art. 65 al. 1 PA étant réunies. Il n'est en conséquence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