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D-2786/2019 vom 3. Juli 2019</w:t>
      </w:r>
    </w:p>
    <w:p>
      <w:r>
        <w:t>Bundesverwaltungsgericht, 2019-07-03, DE</w:t>
      </w:r>
    </w:p>
    <w:p>
      <w:r>
        <w:rPr>
          <w:b/>
        </w:rPr>
        <w:t xml:space="preserve">Quelle: </w:t>
      </w:r>
      <w:r>
        <w:t>https://mcp.opencaselaw.ch/entscheid/bvger_D-2786_2019</w:t>
      </w:r>
    </w:p>
    <w:p>
      <w:r>
        <w:t>FR: TAF D-2786/2019 du 3 juillet 2019</w:t>
      </w:r>
    </w:p>
    <w:p>
      <w:r>
        <w:t>IT: TAF D-2786/2019 del 3 luglio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ist als Verfügungsadressat zur Beschwerdeführung legitimiert. Auf die frist- und formgerecht eingereichte Beschwerde ist einzutreten (Art. 105 und aArt. 108 Abs. 1 AsylG; Art. 48 Abs. 1 sowie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begründet und ist im Verfahren einzelrichterlicher Zuständigkeit mit Zustimmung einer zweiten Richterin oder eines zweiten Richters (Art. 111 Bst. e AsylG), ohne Weiterungen und mit summarischer Begründung zu behandeln (Art. 111a Abs. 1 und 2 AsylG).</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Werden nachträglich erhebliche Gründe in Bezug auf die Feststellung der Flüchtlingseigenschaft vorgetragen, handelt es sich um ein Mehrfachgesuch im Sinne von Art. 111c AsylG (vgl. BVGE 2014/39 E. 4.5 m.w.H.).</w:t>
      </w:r>
    </w:p>
    <w:p>
      <w:r>
        <w:rPr>
          <w:b/>
        </w:rPr>
        <w:t>E. 5.1</w:t>
      </w:r>
    </w:p>
    <w:p>
      <w:r>
        <w:t>Das SEM kommt in der angefochtenen Verfügung zum Schluss, den Akten könne nicht entnommen werden, dass sich das politische Engagement des Beschwerdeführers seit Ergehen des Urteils im ordentlichen Beschwerdeverfahren namhaft verändert beziehungsweise ein flüchtlingsrechtlich relevantes Ausmass angenommen habe. Insbesondere seien Form und Inhalt des Kommentars (...) (...) nicht geeignet, auf eine relevante öffentliche Exponiertheit im Sinne der Rechtsprechung zu schliessen. Damit würden die Vorbringen den Anforderungen an Art. 3 i.V.m. Art. 54 AsylG nicht standhalten.</w:t>
      </w:r>
    </w:p>
    <w:p>
      <w:r>
        <w:rPr>
          <w:b/>
        </w:rPr>
        <w:t>E. 5.2</w:t>
      </w:r>
    </w:p>
    <w:p>
      <w:r>
        <w:t>Der Beschwerdeführer entgegnet in der Rechtsmittelschrift, die eingereichten Beweismittel würden seine politische Exponiertheit bestätigen. Der syrische Geheimdienst habe mit Sicherheit Kenntnis von ihm genommen. Sein (...) sei vor (...) verhaftet worden. Seither habe er (Beschwerdeführer) nichts mehr von ihm gehört. Er befürchte, dass die Verhaftung im Zusammenhang mit seinem politischen Engagement stehe.</w:t>
      </w:r>
    </w:p>
    <w:p>
      <w:r>
        <w:rPr>
          <w:b/>
        </w:rPr>
        <w:t>E. 6.1</w:t>
      </w:r>
    </w:p>
    <w:p>
      <w:r>
        <w:t>Dem Bundesverwaltungsgericht obliegt gemäss Art. 49 Bst. b VwVG (beziehungsweise Art. 106 Abs. 1 Bst. b AsylG) eine umfassende Sachverhaltskontrolle (vgl. Moser/Beusch/Kneubühler, Prozessieren vor dem Bundesverwaltungsgericht, 2. Aufl. 2013, Rz. 2.188). Stellt das Bundesverwaltungsgericht eine fehler- oder lückenhafte Feststellung des Sachverhalts fest, hebt es die Verfügung auf und weist die Sache an die Vorinstanz zurück, damit diese den rechtserheblichen Sachverhalt neu und vollständig erhebt (vgl. Moser/Beusch/Kneubühler, a.a.O., Rz. 2.191; Kölz/Häner/ Bertschi, a.a.O., Rz. 1155).</w:t>
      </w:r>
    </w:p>
    <w:p>
      <w:r>
        <w:rPr>
          <w:b/>
        </w:rPr>
        <w:t>E. 6.2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(vgl. BVGE 2012/21 E. 5.1; Krauskopf/Emmenegger/Babey, in: Praxiskommentar zum Bundesgesetz über das Verwaltungsverfahren, Waldmann/Weissberger (Hrsg.) 2. Aufl. 2016, Art. 12 VwVG N 15 ff.; Kölz/ Häner/Bertschi, a.a.O., Rz. 1043 ff.).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Kölz/Häner/Bertschi, a.a.O., N. 629 ff.; Christoph Auer, in: Auer/Müller/Schindler [Hrsg.], a.a.O., Rz. 17 zu Art. 12; Benjamin Schindler, in: Auer/Müller/Schindler [Hrsg.], a.a.O., Rz. 29 ff. zu Art. 49).</w:t>
      </w:r>
    </w:p>
    <w:p>
      <w:r>
        <w:rPr>
          <w:b/>
        </w:rPr>
        <w:t>E. 6.3</w:t>
      </w:r>
    </w:p>
    <w:p>
      <w:r>
        <w:t>Der Anspruch auf rechtliches Gehör (Art. 29 VwVG) umfasst das Recht des Betroffenen, sich vor Erlass eines in seine Rechtsstellung eingreifenden Entscheids zur Sache äussern zu können. Er verlangt von der Behörde, dass sie die Vorbringen des Betroffenen tatsächlich hört, ernsthaft prüft und in ihrer Entscheidfindung angemessen berücksichtigt. Dies gilt für alle form- und fristgerechten Äusserungen, Eingaben und Anträge, die zur Klärung der konkreten Streitfrage geeignet und erforderlich erscheinen. Die Aktenführungspflicht als Teilgehalt des rechtlichen Gehörs beinhaltet insbesondere die geordnete Ablage, die Paginierung und die Registrierung der vollständigen Akten im Aktenverzeichnis. Sie ergibt sich aus dem Akteneinsichtsrecht des Gesuchstellers beziehungsweise Beschwerdeführers, welches in Art. 26 ff. VwVG geregelt ist (vgl. dazu ausführlich BVGE 2011/37 E. 5.4.1).</w:t>
      </w:r>
    </w:p>
    <w:p>
      <w:r>
        <w:rPr>
          <w:b/>
        </w:rPr>
        <w:t>E. 7</w:t>
      </w:r>
    </w:p>
    <w:p>
      <w:r>
        <w:t>Zunächst ist festzustellen, dass das SEM seine Aktenführungs- und Paginierungspflicht verletzt hat. So wurden die vom Beschwerdeführer im Verfahren (...) eingereichten und vom Bundesveraltungsgericht mit Schreiben vom 1. Mai 2019 an das SEM weitergeleiteten Akten (vgl. Bst. C.e) weder paginiert noch in einem entsprechenden Aktenverzeichnis registriert. Weiter lassen sich die für das vorliegende Verfahren teilweise zentralen Beilagen der Eingabe vom 17. Dezember 2018 (vgl. Bst. C.c) nicht in den vorinstanzlichen Akten auffinden. Das SEM wird seiner Aktenführungs- und Paginierungspflicht - wie sich folgend zeigen wird - im Verlaufe des weiteren Verfahrens rechtsgenüglich nachzukommen haben. Zu diesem Zweck wird dem SEM gemeinsam mit dem vorliegenden Entscheid eine Kopie der Eingabe vom 17. Dezember 2018 inklusive Beilagen übermittelt.</w:t>
      </w:r>
    </w:p>
    <w:p>
      <w:r>
        <w:rPr>
          <w:b/>
        </w:rPr>
        <w:t>E. 8.1</w:t>
      </w:r>
    </w:p>
    <w:p>
      <w:r>
        <w:t>Den Akten lässt sich entnehmen, dass der Beschwerdeführer während eines (...) mit Namen, Foto und Kommentar - [...] - (...) wurde. Die (...) wurde auf YouTube veröffentlicht, wo sie bereits über (...) mal aufgerufen wurde (Stand am 2. Juli 2019). Nach Erkenntnissen des Gerichts handelt es sich bei (...) um einen in B._______ stationierten und (...) ([...]), der sich gemäss eigener Darstellung gegen (...) sowie gegen (...) (vgl. [...], abgerufen am 18.06.2019). Das von (...) ist frei (...) zugänglich. Überdies veröffentlicht (...) täglich eine Vielzahl an Videos (...) (Stand am 2. Juli 2019).</w:t>
      </w:r>
    </w:p>
    <w:p>
      <w:r>
        <w:rPr>
          <w:b/>
        </w:rPr>
        <w:t>E. 8.2</w:t>
      </w:r>
    </w:p>
    <w:p>
      <w:r>
        <w:t>In den Akten findet sich weder eine Übersetzung des fraglichen, (...) Kommentars noch des Titels des entsprechenden Beitrages. Das SEM begnügt sich in der angefochtenen Verfügung damit, lediglich die Darstellung des Beschwerdeführers zu wiederholen, wonach der Kommentar (...). Vor dem Hintergrund des Gesagten geht der Schluss des SEM fehl, wonach Form und Inhalt des Kommentars nicht geeignet seien, auf eine relevante öffentliche Exponiertheit im Sinne der Rechtsprechung zu schliessen. Insgesamt erweist sich der Sachverhalt damit als unzureichend abgeklärt; das SEM hat seine Untersuchungspflicht verletzt. Zur Abklärung von Form und Inhalt muss insbesondere der Kommentar übersetzt werden. Eine Übersetzung könnte grundsätzlich auch durch das Bundesverwaltungsgericht eingeholt werden. Ein solches Vorgehen ist allerdings nicht als zweckmässig zu erachten, insbesondere da angenommen werden kann, dass in diesem Zusammenhang weitere Abklärungen notwendig sein werden (namentlich ist an eine Einordnung des Kommentars in den Kontext [...] zu denken). Es erscheint daher als angebracht, die angefochtene Verfügung aufzuheben und die Sache zur neuen Entscheidung im Sinne der Erwägungen an die Vorinstanz zurückzuweisen, zumal dem Beschwerdeführer ansonsten eine Instanz verloren ginge.</w:t>
      </w:r>
    </w:p>
    <w:p>
      <w:r>
        <w:rPr>
          <w:b/>
        </w:rPr>
        <w:t>E. 9.1</w:t>
      </w:r>
    </w:p>
    <w:p>
      <w:r>
        <w:t>Nach dem Gesagten ist die Beschwerde insofern gutzuheissen, als mit ihr die Aufhebung der angefochtenen Verfügung beantragt wird, und die Sache ist zur Durchführung der erforderlichen Verfahrensschritte und zur erneuten Beurteilung an die Vorinstanz zurückzuweisen. Bei dieser Sachlage erübrigt sich eine Auseinandersetzung mit den weiteren Vorbringen in der Beschwerde.</w:t>
      </w:r>
    </w:p>
    <w:p>
      <w:r>
        <w:rPr>
          <w:b/>
        </w:rPr>
        <w:t>E. 9.2</w:t>
      </w:r>
    </w:p>
    <w:p>
      <w:r>
        <w:t>Die mit der Beschwerde gestellten Begehren um Gewährung der unentgeltlichen Prozessführung samt Verzicht auf die Erhebung eines Kostenvorschusses sowie um amtliche Verbeiständung sind mit dem vorliegenden Direktentscheid gegenstandslos geworden.</w:t>
      </w:r>
    </w:p>
    <w:p>
      <w:r>
        <w:rPr>
          <w:b/>
        </w:rPr>
        <w:t>E. 10.1</w:t>
      </w:r>
    </w:p>
    <w:p>
      <w:r>
        <w:t>Bei diesem Ausgang des Verfahrens sind keine Kosten zu erheben (Art. 63 Abs. 1 VwVG).</w:t>
      </w:r>
    </w:p>
    <w:p>
      <w:r>
        <w:rPr>
          <w:b/>
        </w:rPr>
        <w:t>E. 10.2</w:t>
      </w:r>
    </w:p>
    <w:p>
      <w:r>
        <w:t>Es ist nicht davon auszugehen, dass dem nicht vertretenen Beschwerdeführer aus dem vorliegenden Verfahren Kosten im Sinne der massgeblichen Bestimmungen entstanden sind, weshalb ihm keine Parteientschädigung zuzusprechen ist (Art. 64 Abs. 1 VwVG und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