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D-2781/2013 vom 9. Oktober 2013</w:t>
      </w:r>
    </w:p>
    <w:p>
      <w:r>
        <w:t>Bundesverwaltungsgericht, 2013-10-09, DE</w:t>
      </w:r>
    </w:p>
    <w:p>
      <w:r>
        <w:rPr>
          <w:b/>
        </w:rPr>
        <w:t xml:space="preserve">Quelle: </w:t>
      </w:r>
      <w:r>
        <w:t>https://mcp.opencaselaw.ch/entscheid/bvger_D-2781_2013</w:t>
      </w:r>
    </w:p>
    <w:p>
      <w:r>
        <w:t>FR: TAF D-2781/2013 du 9 octobre 2013</w:t>
      </w:r>
    </w:p>
    <w:p>
      <w:r>
        <w:t>IT: TAF D-2781/2013 del 9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am 18. Mai 2013 in der Schweiz geborene Tochter der Beschwerdeführenden wird in das vorliegende Asylverfahren mit eingeschlossen.</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durch das Bundesverwaltungsgericht ist - in Übereinstimmung mit der Vorinstanz - festzustellen, dass die Beschwerdeführenden die Flüchtlingseigenschaft nicht erfüllen und sie im Falle einer Rückkehr in den Heimatstaat nicht befürchten müssen, dort ernsthafte Nachteile im Sinne von Art. 3 AsylG zu erleiden. Zur Vermeidung von Wiederholungen wird auf die zutreffenden vorinstanzlichen Erwägungen verwiesen (vgl. Bst. D.b. vorstehend). Weder der Rechtsmitteleingabe noch der Beschwerdeergänzung sind stichhaltigen Ent­geg­nungen zu entnehmen, zumal die Beschwerdeführenden lediglich bestreiten, sich widersprochen zu haben. Der Bestreitungsvermerk ist jedoch nicht geeignet, die aufgezeigten Unstimmigkeiten auszuräumen oder aufzuklären. Auch die auf Beschwerdeebene eingereichten Beweismittel können zu keiner anderen Betrachtungsweise führen. Der Übersetzung des eingereichten Zeitungsartikel lässt sich nämlich nicht entnehmen, ob es sich dabei konkret um die Beschwerdeführenden handelt, da die beteiligten Personen nicht namentlich erwähnt werden. Es könnte sich somit auch um ganz andere Personen handeln. Demgegenüber bezieht sich der eingereichte Haftbefehl vom 25. März 2013 der eingereichten Übersetzung zufolge auf eine Person, die einen ganz anderen Namen als der Beschwerdeführer trägt.</w:t>
      </w:r>
    </w:p>
    <w:p>
      <w:r>
        <w:rPr>
          <w:b/>
        </w:rPr>
        <w:t>E. 4.2.1</w:t>
      </w:r>
    </w:p>
    <w:p>
      <w:r>
        <w:t>Die ehemalige ARK hat mit dem Grundsatzentscheid EMARK 2006 Nr. 18 eine Praxisänderung in der Schweizer Asylpraxis eingeführt, indem sie den Wechsel von der Zurechenbarkeits- zur Schutztheorie begründete (vgl. EMARK 2006 Nr. 18 E. 7 und E. 8). Der Schutztheorie ("protection view") zufolge hängt Verfolgung im flüchtlingsrechtlichen Sinne nicht von der Frage ihres Urhebers, sondern vom Vorhandensein adä­quaten Schutzes im Heimatstaat ab. Der Schutz vor nichtstaatlicher Verfolgung ist als ausreichend zu qualifizieren, wenn die betroffene Per­son effektiv Zugang zu einer funktionierenden und effizienten Schutz-Infrastruktur hat und ihr die Inanspruchnahme eines solchen innerstaatli­chen Schutzsystems individuell zumutbar ist. Dabei obliegt es der entscheidenden Behörde, die konkrete Effektivität des Schutzes im Heimat­land abzuklären und zu begründen (vgl. EMARK 2006 Nr. 18 E. 10.3). Für einen effektiven Schutz ist demzufolge erforderlich, dass eine funktionierende und effektive Schutz-Infrastruktur zur Verfügung steht und die Inanspruchnahme eines solchen innerstaatlichen Schutzsystems dem Betroffenen objektiv zugänglich und individuell zumutbar ist (vgl. EMARK 2006 Nr. 18 E. 10.3.2).</w:t>
      </w:r>
    </w:p>
    <w:p>
      <w:r>
        <w:rPr>
          <w:b/>
        </w:rPr>
        <w:t>E. 4.2.2</w:t>
      </w:r>
    </w:p>
    <w:p>
      <w:r>
        <w:t>Genau diese Prüfung hat das BFM in der angefochtenen Verfügung vorgenommen, und namentlich festgehalten, im Nordirak bestehe eine funktionierende Schutzinfrastruktrur. Auch das Bundesverwaltungsgericht hat in seinem Grundsatzurteil BVGE 2008/4 die Schutzfähigkeit und den Schutzwillen der kurdischen Behörden im Nordirak bejaht, und festgehal­ten, dass die Sicherheits- und Justizbehörden der drei irakisch-kurdi­schen Nordprovinzen grundsätzlich in der Lage und willens sind, den Einwohnern der drei nordirakischen Provinzen Schutz vor Verfolgung zu gewähren (vgl. BVGE 2008/4 E. 6.1-6.5 sowie E. 6.6 f.). Da sich der Be­schwerdeführer seinen Angaben bei der Anhörung zufolge nicht an die Behörden gewandt haben will (vgl. A12/13 S. 9 F. 90), kann den iraki­schen Behörden auch nicht der Vorwurf gemacht werden, sie hätten ihm den nötigen Schutz verweigert. Die entsprechenden Vorbringen auf Be­schwerdeebene können somit die zutreffenden Erwägungen in der ange­fochtenen Verfügung nicht umstossen.</w:t>
      </w:r>
    </w:p>
    <w:p>
      <w:r>
        <w:rPr>
          <w:b/>
        </w:rPr>
        <w:t>E. 4.3</w:t>
      </w:r>
    </w:p>
    <w:p>
      <w:r>
        <w:t>Zusammenfassend ist somit festzuhalten, dass es den Beschwerdeführenden nicht gelungen ist, nachzuweisen oder zumindest glaubhaft zu machen, dass sie in ihrer Heimat ernsthafte Nachteile gemäss Art. 3 AsylG erlitten haben oder solche bei ihrer Rückkehr in den Irak befürchten müssen. Die Beschwerdevorbringen und die eingereichten Beweismittel vermögen zu keiner anderen Betrachtungsweise zu führen, weshalb es sich erübrigt, weiter darauf einzugehen. Die Beschwerdeführenden erfüllen somit die Voraussetzungen zur Anerkennung der Flüchtlingseigenschaft nicht, weshalb die Vorinstanz die Asylbegehren zu Recht und mit zutreffender Begründung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Irak ist demnach unter dem Aspekt von Art. 5 AsylG rechtmässig. Sodann ergeben sich weder aus den Aussagen der Beschwerdefüh­ren­den noch aus den Akten Anhaltspunkte dafür, dass sie für den Fall einer Ausschaffung in den Irak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Irak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Nach der Rechtsprechung des Bundesverwaltungsgerichts wird die Anordnung des Wegweisungsvollzugs in der Regel für alleinstehende, gesunde und junge kurdische Männer, welche ursprünglich aus einer der drei nordirakischen Provinzen Dohuk, Erbil und Sulaymanyia stammen und dort nach wie vor über ein soziales Netz oder Parteibeziehungen verfügen, als zumutbar er­achtet (vgl. BVGE 2008/5 E.7.5 und insbesondere E.7.5.8 S. 65 ff.). Die Rückreise für Familien mit Kindern kann wegen einer möglichen konkreten Gefährdung problematisch sein, da oft weder ein ausreichendes Einkommen noch adäquater Wohnraum in Aussicht stehen (vgl. BVGE 2008/5 E. 7.5.8 S. 72). Auch bei der Rückführung alleinstehender Frauen und kranker und betagter Menschen ist grosse Zurückhaltung geboten. Der Beschwerdeführenden stammen nach eigener Angabe aus der Stadt E._______ in der Provinz Dohuk, wo sie seit ihrer Geburt bis zu ihrer Ausreise gelebt haben (vgl. A6/12 S. 5; A9/12 S. 3 f.) Seit ihrer Heirat lebten sie im Haus des Vaters des Beschwerdeführers zusammen mit dessen Eltern, seinen sieben Brüdern, zwei Schwestern und deren Familien (vgl. A6/12 S. 4; A9/12 S. 4). Drei Brüder der Beschwerdeführerin und weitere Ver­wandte des Beschwerdeführers leben ebenfalls in E._______. Ausserdem verfügen die Beschwerdeführenden noch in G._______ und F._______ über Angehörige (vgl. A6/12 S. 5; A9/12 S. 5). Sie verfügen somit in ihrer Heimat über ein familiäres Beziehungsnetz und über einen adäquaten Wohnraum. Die Beschwerdeführenden verfügen auch über einen Zugang zu finanziellen Mitteln, zumal sie den Aussagen des Beschwerdeführers zufolge die Kosten der Ausreise im Betrag von 20'000 US-Dollars mit dem Lohn des Beschwerdeführers, dem Verkauf des Goldschmucks der Be­schwer­de­füh­re­rin sowie mit der finanziellen Unterstützung seines Onkels begleichen konnten (vgl. A6/12 S. 7). Es kann somit davon ausgegangen werden, dass der junge, nach Aktenlage gesunde Beschwerdeführer, wel­cher über eine langjährige Berufserfahrung als Polizist verfügt, in der Lage sein wird, bei einer Rückkehr in den Irak den Lebensunterhalt für seine Familie erneut selbstständig zu bestreiten. Es liegen somit keine Wegweisungshindernisse vor, die den Vollzug der Wegweisung im heuti­gen Zeitpunkt als unzumutbar erscheinen lassen.</w:t>
      </w:r>
    </w:p>
    <w:p>
      <w:r>
        <w:rPr>
          <w:b/>
        </w:rPr>
        <w:t>E. 6.6</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6.7</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Mit vorliegendem Urteil wird das Gesuch um Verzicht auf die Erhebung eines Kostenvorschusses gegenstandslos.</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