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D-2780/2013 vom 16. Juli 2013</w:t>
      </w:r>
    </w:p>
    <w:p>
      <w:r>
        <w:t>Bundesverwaltungsgericht, 2013-07-16, DE</w:t>
      </w:r>
    </w:p>
    <w:p>
      <w:r>
        <w:rPr>
          <w:b/>
        </w:rPr>
        <w:t xml:space="preserve">Quelle: </w:t>
      </w:r>
      <w:r>
        <w:t>https://mcp.opencaselaw.ch/entscheid/bvger_D-2780_2013</w:t>
      </w:r>
    </w:p>
    <w:p>
      <w:r>
        <w:t>FR: TAF D-2780/2013 du 16 juillet 2013</w:t>
      </w:r>
    </w:p>
    <w:p>
      <w:r>
        <w:t>IT: TAF D-2780/2013 del 16 luglio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Die Beschwerde richtet sich gemäss den Rechtsbegehren und der Begründung gegen den Vollzug der von der Vorinstanz verfügten Wegweisung. Die Verfügung des BFM vom 6. Mai 2013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[vormaligen] Schweizerischen Asylrekurskommission [ARK; EMARK] 2001 Nr. 21). Gegenstand des vorliegenden Verfahrens bildet somit lediglich die Frage, ob das Bundesamt den Vollzug der Wegweisung zu Recht als zulässig, zumutbar und möglich erklärt hat.</w:t>
      </w:r>
    </w:p>
    <w:p>
      <w:r>
        <w:rPr>
          <w:b/>
        </w:rPr>
        <w:t>E. 5</w:t>
      </w:r>
    </w:p>
    <w:p>
      <w:r>
        <w:t>Vorab ist festzuhalten, dass es sich bei der Dispositiv-Ziffer 4 der angefochtenen Verfügung (Ausreisefrist: bis am Tag nach Eintritt der Rechtskraft) offensichtlich um ein redaktionelles Versehen handelt, zumal (zutreffend) in der nachfolgenden Dispositiv-Ziffer 5 den Beschwerdeführenden die Ausreisefrist auf den 5. Juni 2013 angesetzt wird. Da diese Ungereimtheit in der Beschwerde nicht gerügt wird und den Beschwerdeführenden kein Rechtsnachteil erwachsen ist, erübrigen sich dazu weitere Erörterungen. Die Dispositiv-Ziffer 4 ist demzufolge aufzuheben.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6.2.1</w:t>
      </w:r>
    </w:p>
    <w:p>
      <w:r>
        <w:t>Der Vollzug ist nicht zulässig, wenn völkerrechtliche Verpflichtungen der Schweiz einer Weiterreise der Ausländerin oder des Ausländers in den Heimat-, Herkunfts- oder einen Drittstaat entgegenstehen (Art. 83 Abs. 3 AuG).</w:t>
      </w:r>
    </w:p>
    <w:p>
      <w:r>
        <w:rPr>
          <w:b/>
        </w:rPr>
        <w:t>E. 6.2.2</w:t>
      </w:r>
    </w:p>
    <w:p>
      <w:r>
        <w:t>Der Vollzug der Wegweisung ist vorliegend in Beachtung der massgeblichen völker- und landesrechtlichen Bestimmungen zulässig. Es fehlen insbesondere - wie bereits in der angefochtenen Verfügung festgehalten - Anhaltspunkte für eine konkrete Bedrohung der Beschwerdeführenden in Kosovo, zumal rechtskräftig feststeht, dass es ihnen nicht gelungen ist, eine asylrechtlich erhebliche Gefährdung glaubhaft zu machen. Da in der Beschwerde hinsichtlich der Zulässigkeit des Vollzugs der Wegweisung keine Einwände geltend gemacht werden, erübrigen sich diesbezüglich weitergehende Ausführungen.</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Aufgrund der verbesserten Lage in Kosovo ist davon auszugehen, dass im heutigen Zeitpunkt ein Vollzug der Wegweisung für slawische Muslime (Bosniaken, Torbeschen, Gorani) in den gesamten Kosovo (ausgenommen den Bezirk Mitrovica) in der Regel zumutbar ist (vgl. Urteil des Bundesverwaltungsgerichts D-6712/2009 vom 12. April 2010 E. 7.3.3). An dieser Einschätzung vermögen auch die diesbezüglichen Vorbringen in der Beschwerde nichts zu ändern.</w:t>
      </w:r>
    </w:p>
    <w:p>
      <w:r>
        <w:rPr>
          <w:b/>
        </w:rPr>
        <w:t>E. 6.3.3</w:t>
      </w:r>
    </w:p>
    <w:p>
      <w:r>
        <w:t>Den Akten sind zudem keine Anhaltspunkte dafür zu entnehmen, dass die Beschwerdeführenden bei einer Rückkehr in den Kosovo aus individuellen Gründen wirtschaftlicher oder sozialer Natur in eine existenzbedrohende Situation geraten würden, zumal sie in ihrer Heimatregion über zahlreiche nahe Verwandte und somit über ein tragfähiges Beziehungsnetz verfügen, welches ihnen eine Reintegration erleichtern dürfte. Insbesondere ist davon auszugehen, dass die Beschwerdeführenden bei einer Rückkehr in den Kosovo zumindest vorübergehend im Haus der Eltern des Beschwerdeführers in der Stadt F._______ werden wohnen können, da der Beschwerdeführer sowie die Beschwerdeführerin vor ihrer Ausreise bereits dort gewohnt haben. Der - gemäss den Akten - gesunde Beschwerdeführer verfügt zudem über Berufserfahrung (Mitarbeiter in einem I._______) sowie über gute Sprachkenntnisse (J._______, K._______, L._______, M._______), weshalb er in der Lage sein wird, sich in der Heimat wirtschaftlich zu reintegrieren und für seine Familie zu sorgen. Auch aufgrund ihres jungen Alters dürfte dem Beschwerdeführer sowie der Beschwerdeführerin die Reintegration in Kosovo gelingen (vgl. BVGE 2010/41 E. 8.3.5 S. 590). Die Rückkehrhilfe der Schweiz wird den Beschwerdeführenden den Wiedereinstieg in Kosovo ebenfalls erleichtern (vgl. Art. 62 ff. der Asylverordnung 2 über Finanzierungsfragen vom 11. August 1999 [AsylV 2, SR 142.312). Zudem ist darauf hinzuweisen, dass sie bei einer Rückkehr in den Kosovo vom Reintegrationsfonds profitieren können, den die kosovarische Regierung geschaffen hat, um Rückkehrern die Integration zu erleichtern.</w:t>
      </w:r>
    </w:p>
    <w:p>
      <w:r>
        <w:rPr>
          <w:b/>
        </w:rPr>
        <w:t>E. 6.3.4</w:t>
      </w:r>
    </w:p>
    <w:p>
      <w:r>
        <w:t>Hinsichtlich der geltend gemachten gesundheitlichen Beschwerden der Beschwerdeführerin ist vorab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2009/2 E. 9.3.2, BVGE 2011/24 E. 11.1, mit weiteren Verweisen).</w:t>
      </w:r>
    </w:p>
    <w:p>
      <w:r>
        <w:rPr>
          <w:b/>
        </w:rPr>
        <w:t>E. 6.3.5</w:t>
      </w:r>
    </w:p>
    <w:p>
      <w:r>
        <w:t>Laut dem eingereichten Austrittsbericht der H._______ vom 23. Mai 2013 leidet die Beschwerdeführerin an einer rezidivierenden depressiven Störung gegenwärtig mittelgradiger Episode mit somatischem Syndrom (ICD-10 F33.11). Da gemäss den Erkenntnissen des Bundesverwaltungsgerichts die medizinische Grundversorgung in Kosovo sichergestellt ist, kann die Beschwerdeführerin die bei ihr diagnostizierte rezidivierende depressive Störung in Kosovo adäquat behandeln lassen, sollte sie nach wie vor darunter leiden und auf eine Behandlung angewiesen sein. An dieser Einschätzung vermögen die Vorbringen in der Beschwerde nichts zu ändern, weshalb es sich erübrigt, auf diese näher einzugehen. Schliesslich besteht auch die Möglichkeit, medizinische Rückkehrhilfe in Anspruch zu nehmen. So kann für die Zeit vor und während der Rückreise einer allfälligen zeitweiligen Verschlechterung des gesundheitlichen Zustandes der Beschwerdeführerin medikamentös und mit einer angepassten persönlichen Betreuung begegnet werden. Weiter kann die Beschwerdeführerin für eine erste Zeit einen entsprechenden Medikamentenvorrat mitnehmen. Es ist demnach nicht davon auszugehen, die gesundheitlichen Probleme der Beschwerdeführerin würden im Falle des Vollzugs der Wegweisung mangels ausreichender medizinischer Behandlungsmöglichkeiten eine drastische und lebensbedrohende Verschlechterung ihres Gesundheitszustandes nach sich ziehen.</w:t>
      </w:r>
    </w:p>
    <w:p>
      <w:r>
        <w:rPr>
          <w:b/>
        </w:rPr>
        <w:t>E. 6.3.6</w:t>
      </w:r>
    </w:p>
    <w:p>
      <w:r>
        <w:t>Auch das Übereinkommen vom 20. November 1989 über die Rechte des Kindes (Kinderrechtskonvention, KRK; SR 0.107) steht einem Wegweisungsvollzug nicht entgegen, zumal die Kinder aufgrund ihres Alters noch in einem sehr engen Verhältnis zu ihren Eltern stehen.</w:t>
      </w:r>
    </w:p>
    <w:p>
      <w:r>
        <w:rPr>
          <w:b/>
        </w:rPr>
        <w:t>E. 6.3.7</w:t>
      </w:r>
    </w:p>
    <w:p>
      <w:r>
        <w:t>Nach dem Gesagten ist der Vollzug der Wegweisung somit auch als zumutbar zu bezeichnen.</w:t>
      </w:r>
    </w:p>
    <w:p>
      <w:r>
        <w:rPr>
          <w:b/>
        </w:rPr>
        <w:t>E. 6.4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8.1</w:t>
      </w:r>
    </w:p>
    <w:p>
      <w:r>
        <w:t>Aufgrund vorstehender Erwägungen erweisen sich die Beschwerdebegehren als aussichtlos. Das Gesuch der Beschwerdeführenden um unentgeltliche Rechtspflege im Sinne von Art. 65 Abs. 1 VwVG ist damit - unabhängig einer allfälligen prozessualen Bedürftigkeit - abzuweisen.</w:t>
      </w:r>
    </w:p>
    <w:p>
      <w:r>
        <w:rPr>
          <w:b/>
        </w:rPr>
        <w:t>E. 8.2</w:t>
      </w:r>
    </w:p>
    <w:p>
      <w:r>
        <w:t>Bei diesem Ausgang des Verfahrens sind die Kosten den Beschwer­deführenden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