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D-277/2015 vom 4. Februar 2015</w:t>
      </w:r>
    </w:p>
    <w:p>
      <w:r>
        <w:t>Bundesverwaltungsgericht, 2015-02-04, DE</w:t>
      </w:r>
    </w:p>
    <w:p>
      <w:r>
        <w:rPr>
          <w:b/>
        </w:rPr>
        <w:t xml:space="preserve">Quelle: </w:t>
      </w:r>
      <w:r>
        <w:t>https://mcp.opencaselaw.ch/entscheid/bvger_D-277_2015</w:t>
      </w:r>
    </w:p>
    <w:p>
      <w:r>
        <w:t>FR: TAF D-277/2015 du 4 février 2015</w:t>
      </w:r>
    </w:p>
    <w:p>
      <w:r>
        <w:t>IT: TAF D-277/2015 del 4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praxisgemäss ohne weiteres darüber be­funden werden kann. Der vorliegende Entscheid ergeht in­dessen in deut­scher Sprache (Art. 33a Abs. 2 VwVG i.V.m. Art. 6 AsylG).</w:t>
      </w:r>
    </w:p>
    <w:p>
      <w:r>
        <w:rPr>
          <w:b/>
        </w:rPr>
        <w:t>E. 1.3</w:t>
      </w:r>
    </w:p>
    <w:p>
      <w:r>
        <w:t>Die Beschwerde ist frist- und grundsätzlich - abgesehen vom sprach­lichen Mangel -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Der Beschwerdeführer wurde am 26. August 2014 durch eine Mitarbeiterin der Schweizer Botschaft in Colombo zu seinen Asylgründen be­fragt. Den verfahrensrechtlichen Anforderungen wurde damit entsprochen (aArt. 10 der Asylverordnung 1 vom 11. August 1999 [AsylV 1, SR 142.311]).</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Mit der Vorinstanz ist festzuhalten, dass die Vorbringen des Be­schwerdeführers weder einreise- noch asylrelevant sind. Die von ihm geschilderte Verfolgungssituation durch die sri-lankischen Behörden vermag nicht zu überzeugen. Den im Zusammenhang mit seinem Sachvortrag eingereichten Be­weis­mitteln ist keine wei­te­re Bedeutung beizumessen, da in casu den Vorbringen des Beschwerdeführers die asylrechtliche Relevanz abzusprechen ist. Zur Vermeidung von Wiederholungen kann daher vollumfänglich auf die unter anderem mit Verweis auf das Urteil D-1733/2012 des Bundesverwaltungsgerichts (vgl. insbesondere E. 4.1 und 4.3 des Urteils) gemachten und nicht zu beanstandenden Ausführungen der Vorinstanz in der angefochtenen Verfügung verwiesen werden. Ihnen ist nichts mehr hinzuzufügen.</w:t>
      </w:r>
    </w:p>
    <w:p>
      <w:r>
        <w:rPr>
          <w:b/>
        </w:rPr>
        <w:t>E. 6.2</w:t>
      </w:r>
    </w:p>
    <w:p>
      <w:r>
        <w:t>Die Vorbringen in der Rechtsmitteleingabe sind nicht geeignet, eine Änderung der angefochtenen Verfügung zu bewirken. Der Sachverhalt bleibt grundsätzlich unverändert und eine Auseinandersetzung mit der vorinstanzlichen Argumentation unterbleibt. Mit den pauschalen, unsubstanziierten und nicht über Allgemeinplätze hinausgehenden Ausführungen (u.a. ständige Ortswechsel, um einer allfälligen Suche und Fragen zu seiner Vergangenheit durch die Behörden zu entgehen; Furcht der Verwandten, mit ihm und der Frau in Kontakt zu treten; Furcht, die Nacht zuhause zu verbringen; Nachfragen über seinen Aufenthaltsort bei seiner Frau durch unbekannte Personen) wird noch keine individuelle Betroffenheit im Sinne des Asylgesetzes dargetan. Vielmehr ist festzustellen, dass nähere Hinweise oder Aufschlüsse für eine (asyl-)relevante Gefährdungssituation des Beschwerdeführers fehlen. Gleichermassen verhält es sich mit den vom Beschwerdeführer als widrig empfundenen Lebensumständen, wonach es aufgrund einer nicht dauernden Anstellung schwierig sei, den Unterhalt der Familie respektive die Ausbildung seines (Kind) bestreiten zu können. Angesichts dieser eindeutigen Sachlage erübrigen sich weitere Erörterungen.</w:t>
      </w:r>
    </w:p>
    <w:p>
      <w:r>
        <w:rPr>
          <w:b/>
        </w:rPr>
        <w:t>E. 6.3</w:t>
      </w:r>
    </w:p>
    <w:p>
      <w:r>
        <w:t>Der Vollständigkeit halber sei noch vermerkt, dass das aus der Warte der Ehefrau des Beschwerdeführers im eingereichten Schreiben vom 19. Dezember 2014 Geschilderte (vgl. Bst. D. hiervor) keine Auswirkungen auf den Ausgang des vorliegenden Verfahrens auszuüben vermag. Zunächst ist festzuhalten, dass die Ehefrau - wie die Vorinstanz in der angefochtenen Verfügung anführte - nie persönlich in Erscheinung trat und nie den Willen bekundete, um Asyl ersuchen zu wollen (II/Ziff. 1 S. 3). Obschon im Rahmen des vorinstanzlichen Verfahrens zahlreiche Gelegenheiten zu einer Willensäusserung im Sinne eines Ersuchens um Asyl bestanden, sind den Akten hierfür aber keine entsprechenden und unumstösslichen Anhaltspunkte zu entnehmen (vgl. A 1, 3, 6 und 9). In Bezug auf die Ehefrau und das Kind des Beschwerdeführers wurde mithin kein Verfahren eingeleitet. Das nun im Schreiben der Ehefrau unter anderem gestellte Gesuch um Bewilligung der Einreise respektive um Gewährung von Asyl in der Schweiz kann daher nicht berücksichtigt werden. Ebenfalls kann in diesem Zusammenhang kein Asylverfahren aus dem Ausland angehoben werden (vgl. E. 4 hiervor).</w:t>
      </w:r>
    </w:p>
    <w:p>
      <w:r>
        <w:rPr>
          <w:b/>
        </w:rPr>
        <w:t>E. 6.4</w:t>
      </w:r>
    </w:p>
    <w:p>
      <w:r>
        <w:t>Zusammenfassend ist festzustellen, dass der Beschwerdeführer kei­ne Ver­folgung im Sinne von Art. 3 AsylG darzutun vermochte. Das BFM hat dem­nach zu Recht die Einreise in die Schweiz nicht bewilligt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