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D-2779/2007 vom 11. Dezember 2009</w:t>
      </w:r>
    </w:p>
    <w:p>
      <w:r>
        <w:t>Bundesverwaltungsgericht, 2009-12-11, DE</w:t>
      </w:r>
    </w:p>
    <w:p>
      <w:r>
        <w:rPr>
          <w:b/>
        </w:rPr>
        <w:t xml:space="preserve">Quelle: </w:t>
      </w:r>
      <w:r>
        <w:t>https://mcp.opencaselaw.ch/entscheid/bvger_D-2779_2007</w:t>
      </w:r>
    </w:p>
    <w:p>
      <w:r>
        <w:t>FR: TAF D-2779/2007 du 11 décembre 2009</w:t>
      </w:r>
    </w:p>
    <w:p>
      <w:r>
        <w:t>IT: TAF D-2779/2007 del 11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stützt seine Ablehnung des Asylgesuchs auf die Beurteilung, die Vorbringen des Beschwerdeführers zu seinen Asylgründen seien nicht glaubhaft. Es erweist sich, dass dieser Einschätzung im Ergebnis zu folgen ist.</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ARK, welche für die Rechtsprechung des Bundesverwaltungsgerichts einen nach wie vor gültigen Massstab bildet; vgl. etwa Entscheide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w:t>
      </w:r>
    </w:p>
    <w:p>
      <w:r>
        <w:t>Wie das Bundesamt insgesamt zu Recht festgestellt hat, vermochte der Beschwerdeführer anlässlich der durchgeführten Anhörungen in Bezug auf wesentliche Fakten, so namentlich den Zeitpunkt der Machtergreifung der Taliban in seiner Herkunftsregion beziehungsweise in seinem Heimatdorf, keine auch nur annähernd detaillierten Angaben zu machen. Auch wenn der Beschwerdeführer im Zeitraum der Machtausübung der Taliban in seiner Heimatregion im Alter von etwa zwölf bis vierzehn Jahren war, so wäre zu erwarten, dass er die im Zusammenhang mit den Taliban behaupteten Erlebnisse zeitlich einigermassen einzuordnen wüsste. Gemäss seinen Aussagen soll die Machtübernahme durch die Taliban für seinen Vater wie auch für ihn selbst markante Auswirkungen gehabt haben. So will er mit seinem Vater zusammen Angehörige der Taliban zu Waffenverstecken geführt haben. Indessen vermochte er auf entsprechende Fragen hin nicht einmal zu sagen, in welcher Jahreszeit diese Ereignisse erfolgt sein sollen. Dies erscheint umso weniger nachvollziehbar, als der Beschwerdeführer demgegenüber das Jahr der Vertreibung der Taliban (2001) nennen konnte. Auch sonst sind die Angaben des Beschwerdeführers zu seinen angeblichen Erlebnissen im Zusammenhang mit dem Regime der Taliban in seinem Heimatdorf nicht substantiiert ausgefallen. Des Weiteren ist aufgrund der Aussagen des Beschwerdeführers auch nicht nachvollziehbar, weshalb er durch seinen Vater nach dem Sturz der Taliban in den Iran geschickt worden sein soll, während der Vater in Afghanistan verblieb, war es doch primär Letzterer, der aufgrund der angeblichen Kollaboration mit den Taliban durch Rache bedroht gewesen wäre. Die Erklärung des Beschwerdeführers, es sei seinem Vater aufgrund dessen Verbindung mit den Taliban nicht möglich gewesen, zu fliehen, vermag nicht zu überzeugen. Dabei erscheint es zwar angesichts der gemachten Aussagen zum Aufenthalt im Iran nicht realitätsfremd, dass sich der Beschwerdeführer tatsächlich dort aufhielt. Indessen ist nicht glaubhaft, dass der Beschwerdeführer durch seinen Vater aus den geltend gemachten Gründen in den Iran geschickt wurde, sondern dies dürfte wirtschaftlich motiviert gewesen sein.</w:t>
      </w:r>
    </w:p>
    <w:p>
      <w:r>
        <w:rPr>
          <w:b/>
        </w:rPr>
        <w:t>E. 4.4</w:t>
      </w:r>
    </w:p>
    <w:p>
      <w:r>
        <w:t>Nach dem Gesagten hat das Bundesamt das Asylgesuch des Beschwerdeführers zu Recht mangels Glaubhaftigkeit der betreffenden Vorbringen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im vorliegenden Fall der Vollzug der Wegweisung aus den nachfolgend aufgezeigten Gründen als unzumutbar erweist, ist auf eine Erörterung der beiden anderen Kriterien - insbesondere der Zulässigkeit des Wegweisungsvollzugs -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Im vorliegenden Fall stellt sich die Frage, ob für den Beschwerdeführer die Rückkehr in einen bestimmten Teil seines Heimatlandes Afghanistan zumutbar ist. Gemäss geltender Praxis erfordert die Bejahung einer zumutbaren innerstaatlichen Aufenthaltsalternative in der Hauptstadt Kabul, wo die allgemeine Situation als relativ stabil zu bezeichnen ist (vgl. EMARK 2003 Nr. 10 E. 10b/aa S. 67), oder in einer anderen Provinz, in der die allgemeine Situation eine Rückkehr unter bestimmten Umständen als zumutbar erscheinen liesse (vgl. EMARK 2006 Nr. 9), insbesondere die dortige Existenz eines tragfähigen Beziehungsnetzes sowie eine gesicherte Wohnsituation. Von der Vorinstanz wurde nicht in Zweifel gezogen, dass der Beschwerdeführer der Ethnie der Hazara angehört und aus der Provinz Ghazni stammt. Sein Herkunftsort befindet sich folglich nicht in einer der in EMARK 2006 Nr. 9 abschliessend aufgeführten Provinzen, in welche - neben Kabul - der Wegweisungsvollzug unter strengen Bedingungen als zumutbar erachtet wird. Den Akten sind ferner auch keinerlei Hinweise dafür zu entnehmen, dass der Beschwerdeführer in Kabul oder in einer der in EMARK 2006 Nr. 9 aufgelisteten Provinzen über eine gesicherte Wohnsituation und ein tragfähiges Beziehungsnetz verfügen könnte. Somit fehlen die entscheidenden Zumutbarkeitsfaktoren für die Annahme, der Beschwerdeführer könne sich im Grossraum Kabul oder in einer der anderen genannten Provinzen eine gesicherte Existenzgrundlage aufbauen.</w:t>
      </w:r>
    </w:p>
    <w:p>
      <w:r>
        <w:rPr>
          <w:b/>
        </w:rPr>
        <w:t>E. 7.3</w:t>
      </w:r>
    </w:p>
    <w:p>
      <w:r>
        <w:t>Aus dem Gesagten ergibt sich somit der Schluss, dass der Vollzug der Wegweisung des Beschwerdeführers nach Afghanistan als unzumutbar zu erachten ist.</w:t>
      </w:r>
    </w:p>
    <w:p>
      <w:r>
        <w:rPr>
          <w:b/>
        </w:rPr>
        <w:t>E. 8</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BFM ist anzuweisen, den Aufenthalt des Beschwerdeführers nach den gesetzlichen Bestimmungen über die vorläufige Aufnahme zu regeln (Art. 44 Abs. 2 AsylG und Art. 83 Abs. 4 AuG).</w:t>
      </w:r>
    </w:p>
    <w:p>
      <w:r>
        <w:rPr>
          <w:b/>
        </w:rPr>
        <w:t>E. 9.1</w:t>
      </w:r>
    </w:p>
    <w:p>
      <w:r>
        <w:t>Bei diesem Ausgang des Verfahrens sind dem Beschwerdeführer um die Hälfte reduzierte Verfahrenskosten in der Höhe von Fr. 300.-- aufzuerlegen (vgl. Art. 2 und 3 des Reglements vom 21. Februar 2008 über die Kosten und Entschädigungen vor dem Bundesverwaltungsgericht [VGKE, SR 173.320.2] i.V.m. Art. 16 Abs. 1 Bst. a VGG). Dieser Betrag ist mit dem am 2. Mai 2007 geleisteten Kostenvorschuss von Fr. 600.-- zu verrechnen, womit dem Beschwerdeführer der Überschuss von Fr. 300.-- zurückzuerstatten ist.</w:t>
      </w:r>
    </w:p>
    <w:p>
      <w:r>
        <w:rPr>
          <w:b/>
        </w:rPr>
        <w:t>E. 9.2</w:t>
      </w:r>
    </w:p>
    <w:p>
      <w:r>
        <w:t>Nachdem der Beschwerdeführer hinsichtlich des Wegweisungsvollzugs - und insofern teilweise - obsiegt hat, ist ihm eine angemessene, um die Hälfte reduzierte Parteientschädigung zu entrichten (vgl. Art. 64 Abs. 1 VwVG i.V.m. Art. 37 VGG; Art. 7 ff. VGKE).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 Grund der Akten daher auf Fr. 500.-- (inkl. Auslagen und Mehrwertsteuer) festgesetzt.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