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D-2778/2007 vom 9. Juni 2010</w:t>
      </w:r>
    </w:p>
    <w:p>
      <w:r>
        <w:t>Bundesverwaltungsgericht, 2010-06-09, FR</w:t>
      </w:r>
    </w:p>
    <w:p>
      <w:r>
        <w:rPr>
          <w:b/>
        </w:rPr>
        <w:t xml:space="preserve">Quelle: </w:t>
      </w:r>
      <w:r>
        <w:t>https://mcp.opencaselaw.ch/entscheid/bvger_D-2778_2007</w:t>
      </w:r>
    </w:p>
    <w:p>
      <w:r>
        <w:t>FR: TAF D-2778/2007 du 9 juin 2010</w:t>
      </w:r>
    </w:p>
    <w:p>
      <w:r>
        <w:t>IT: TAF D-2778/2007 del 9 giugno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LTAF. En particulier, les décisions rendues par l'ODM en matière d'asile et de renvoi peuvent être contestées devant le Tribunal, lequel, en cette matière, statue de manière définitive, conformément à l'art. 105 al. 1 LAsi.</w:t>
      </w:r>
    </w:p>
    <w:p>
      <w:r>
        <w:rPr>
          <w:b/>
        </w:rPr>
        <w:t>E. 1.2</w:t>
      </w:r>
    </w:p>
    <w:p>
      <w:r>
        <w:t>L'intéressée a qualité pour recourir. Présenté dans la forme et le délai prescrits par la loi, le recours est recevable (art. 48 ss PA dans leurs versions en vigueur au moment du dépôt du recours).</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déclarations de la recourante ne satisfont pas aux exigences de vraisemblance posées par l'art. 7 LAsi. Elles sont, en effet, incohérentes et divergentes sur des éléments essentiels. Ainsi, la chronologie des événements ne peut être établie sur la base des explications de la recourante. Celle-ci a affirmé, lors de sa première audition, que son ex-mari avait tenté de violer leur fille C._______ en (...), qu'elle avait porté plainte contre lui et que celui-ci aurait alors été emprisonné pour son comportement violent. L'intéressée se serait ensuite cachée chez une tante avec sa fille durant trois mois, puis chez un cousin durant cinq mois, avant de partir seule pour la Suisse (cf. procès-verbal de l'audition du [...], p. 6). Lors de sa deuxième audition, elle a toutefois livré une autre version, déclarant que le père de ses enfants avait purgé sa peine en (...) (cf. procès-verbal de l'audition du [...], p. 4 et 6), qu'elle avait quitté la maison après que son mari eut purgé sa peine et que, durant deux ans, elle avait vécu chez son cousin et sa tante (cf. procès-verbal de l'audition du [...], p. 6). En outre, on peut s'étonner que la recourante ait dû, selon ses dires, impérativement quitter le pays pour échapper à son ex-mari, alors que sa fille, qui aurait été plus directement menacée par ce dernier, serait quant à elle restée en Serbie, sans vraisemblablement subir de préjudice particulier suite au départ de l'intéressée. Par ailleurs, la recourante a été retrouvée avec un document sur elle émis par les autorités autrichiennes, duquel il ressort qu'elle s'était inscrite le (...) comme habitante de la ville de E._______. Dans le cadre de la présente procédure, elle a toutefois prétendu qu'elle avait vécu en Serbie de (...) et qu'elle avait quitté son pays d'origine en (...) (cf. procès-verbal de l'audition du [...], p. 1 s.). Interrogée sur ce point, l'intéressée n'a pas été en mesure de fournir une explication convaincante (cf. procès-verbal de l'audition du [...], p. 4).</w:t>
      </w:r>
    </w:p>
    <w:p>
      <w:r>
        <w:rPr>
          <w:b/>
        </w:rPr>
        <w:t>E. 3.2</w:t>
      </w:r>
    </w:p>
    <w:p>
      <w:r>
        <w:t>Indépendamment de ce qui précède, le Tribunal constate que les motifs d'asile allégués ne satisfont pas non plus aux exigences de pertinence (art. 3 LAsi), dans la mesure où l'intéressée a allégué essentiellement des problèmes avec son ex-mari. Si, selon la jurisprudence, il n'est plus nécessaire que l'auteur des persécutions soit une autorité étatique (Jurisprudence et Informations de la Commission suisse de recours en matière d'asile [JICRA] 2006 n° 18 p. 180 ss), il n'en reste pas moins que la protection internationale est subsidiaire à celle que le requérant peut obtenir dans son pays d'origine. Il faut et il suffit que cette protection soit adéquate, c'est-à-dire que la personne persécutée puisse en pratique faire appel à des structures efficaces de protection et qu'on puisse exiger d'elle qu'elle engage à cette démarche. Dans le cas particulier, une telle possibilité existe, l'intéressée pouvant solliciter la protection des autorités serbes. En (...), elle aurait été, d'ailleurs, selon ses dires, en mesure de porter plainte contre son ex-mari et celui-ci aurait été condamné à une peine d'emprisonnement (cf. procès-verbal de l'audition du [...], p. 6). Dès lors, l'allégation de la recourante, intervenue au stade du recours, selon laquelle elle n'obtiendrait aucune protection de la part des autorités serbes en raison de son appartenance à l'ethnie rom n'est pas convaincante. Au surplus, les préjudices craints de la part de l'ex-mari ne sont pas liés à un des motifs exhaustivement énumérés à l'art. 3 LAsi.</w:t>
      </w:r>
    </w:p>
    <w:p>
      <w:r>
        <w:rPr>
          <w:b/>
        </w:rPr>
        <w:t>E. 4</w:t>
      </w:r>
    </w:p>
    <w:p>
      <w:r>
        <w:t>Il s'ensuit que le recours, en tant qu'il conteste le refus de la reconnaissance de la qualité de réfugié et le rejet de la demande d'asile déposée par la recourante, doit être rejeté.</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(dans ce sens JICRA 2001 n° 21 p. 168 ss).</w:t>
      </w:r>
    </w:p>
    <w:p>
      <w:r>
        <w:rPr>
          <w:b/>
        </w:rPr>
        <w:t>E. 6.1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6.2</w:t>
      </w:r>
    </w:p>
    <w:p>
      <w:r>
        <w:t>L'intéressée n'ayant pas établi l'existence de sérieux préjudices au sens de l'art. 3 LAsi, elle ne peut se prévaloir de l'art. 5 al. 1 LAsi (principe de non-refoulement). Elle n'a pas non plus établi qu'elle risquait d'être soumise,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(dans ce sens Cour européenne des droits de l'homme [Cour eur. DH], arrêt NA. c. Royaume-Uni du 17 juillet 2008 [requête n° 25904/07], § 111 ; JICRA 2005 n° 4 consid. 6.2. p. 40, JICRA 2004 n° 6 consid. 7a p. 40, JICRA 2003 n° 10 consid. 10a p. 65 s., JICRA 2001 n° 17 consid. 4b p. 130 s., JICRA 2001 n° 16 consid. 6a p. 121 s., JICRA 1996 n° 18 consid. 14b/ee p. 186 s.), ce qui n'est pas le cas en l'espèce. L'exécution du renvoi ne transgresse ainsi aucun engagement de la Suisse relevant du droit international, de sorte qu'elle est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In casu, la Serbie ne connaît pas une situation de guerre, de guerre civile ou de violence généralisée sur l'ensemble de son territoire qui permettrait de présumer à propos de tout requérant en provenant l'existence d'une mise en danger concrète au sens des dispositions légales précitées. Au demeurant, par décision du Conseil fédéral du 6 mars 2009, la Serbie a été désignée comme pays exempt de persécutions (safe country).</w:t>
      </w:r>
    </w:p>
    <w:p>
      <w:r>
        <w:rPr>
          <w:b/>
        </w:rPr>
        <w:t>E. 6.3.2</w:t>
      </w:r>
    </w:p>
    <w:p>
      <w:r>
        <w:t>En outre, il ne ressort pas du dossier que l'intéressée pourrait être mise sérieusement en danger pour un motif qui lui serait propre. Elle est encore jeune, n'a pas allégué ni établi qu'elle souffrait de problèmes de santé particuliers pour lesquels elle ne pourrait être soignée dans son pays et qui seraient susceptibles de rendre son renvoi inexécutable. Elle dispose, au surplus, d'un réseau familial et social dans son pays, sur lequel elle pourra compter à son retour, à savoir notamment ses enfants, désormais majeurs, et des cousins. Son appartenance à l'ethnie rom n'est pas non plus un élément décisif dans ce contexte.</w:t>
      </w:r>
    </w:p>
    <w:p>
      <w:r>
        <w:rPr>
          <w:b/>
        </w:rPr>
        <w:t>E. 6.4</w:t>
      </w:r>
    </w:p>
    <w:p>
      <w:r>
        <w:t>L'exécution du renvoi est également possible (art. 44 al. 2 LAsi et art. 83 al. 2 LEtr). Il incombe en effet à l'intéressée, dans le cadre de son obligation de collaborer (art. 8 al. 4 LAsi), d'entreprendre les démarches nécessaires pour obtenir les documents lui permettant de retourner en Serbie.</w:t>
      </w:r>
    </w:p>
    <w:p>
      <w:r>
        <w:rPr>
          <w:b/>
        </w:rPr>
        <w:t>E. 6.5</w:t>
      </w:r>
    </w:p>
    <w:p>
      <w:r>
        <w:t>Il s'ensuit que le recours, en tant qu'il porte sur l'exécution du renvoi, doit être rejeté et le dispositif de la décision entreprise également confirmé sur ce point.</w:t>
      </w:r>
    </w:p>
    <w:p>
      <w:r>
        <w:rPr>
          <w:b/>
        </w:rPr>
        <w:t>E. 6.6</w:t>
      </w:r>
    </w:p>
    <w:p>
      <w:r>
        <w:t>Cela étant, il y a lieu de mettre les frais de procédure à la charge de l'intéressée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