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D-2773/2024 vom 7. Juni 2024</w:t>
      </w:r>
    </w:p>
    <w:p>
      <w:r>
        <w:t>Bundesverwaltungsgericht, 2024-06-07, FR</w:t>
      </w:r>
    </w:p>
    <w:p>
      <w:r>
        <w:rPr>
          <w:b/>
        </w:rPr>
        <w:t xml:space="preserve">Quelle: </w:t>
      </w:r>
      <w:r>
        <w:t>https://mcp.opencaselaw.ch/entscheid/bvger_D-2773_2024</w:t>
      </w:r>
    </w:p>
    <w:p>
      <w:r>
        <w:t>FR: TAF D-2773/2024 du 7 juin 2024</w:t>
      </w:r>
    </w:p>
    <w:p>
      <w:r>
        <w:t>IT: TAF D-2773/2024 del 7 giugno 2024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SEM est invité à mener l'instruction de la cause sans nouveau retard et à statuer dans les meilleurs délais sur la demande de protection que l'intéressé a déposée en Suisse le 20 novembre 2021.</w:t>
      </w:r>
    </w:p>
    <w:p>
      <w:r>
        <w:rPr>
          <w:b/>
        </w:rPr>
        <w:t>E. 3</w:t>
      </w:r>
    </w:p>
    <w:p>
      <w:r>
        <w:t>La requête d'assistance judiciaire partielle est sans objet.</w:t>
      </w:r>
    </w:p>
    <w:p>
      <w:r>
        <w:rPr>
          <w:b/>
        </w:rPr>
        <w:t>E. 4</w:t>
      </w:r>
    </w:p>
    <w:p>
      <w:r>
        <w:t>Le SEM versera au recourant la somme de 300 francs à titre de dépens.</w:t>
      </w:r>
    </w:p>
    <w:p>
      <w:r>
        <w:rPr>
          <w:b/>
        </w:rPr>
        <w:t>E. 5</w:t>
      </w:r>
    </w:p>
    <w:p>
      <w:r>
        <w:t>Le présent arrêt est adressé au recourant par l'intermédiaire de sa mandataire, au SEM et à l'autorité cantonale. Le président du collège : Le greffier : Gérald Bovier Lucien Philippe Magne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