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D-276/2024 vom 11. Dezember 2023</w:t>
      </w:r>
    </w:p>
    <w:p>
      <w:r>
        <w:t>Bundesverwaltungsgericht, 2023-12-11, DE</w:t>
      </w:r>
    </w:p>
    <w:p>
      <w:r>
        <w:rPr>
          <w:b/>
        </w:rPr>
        <w:t xml:space="preserve">Quelle: </w:t>
      </w:r>
      <w:r>
        <w:t>https://mcp.opencaselaw.ch/entscheid/bvger_D-276_2024_d20231211</w:t>
      </w:r>
    </w:p>
    <w:p>
      <w:r>
        <w:t>FR: TAF D-276/2024 du 11 décembre 2023</w:t>
      </w:r>
    </w:p>
    <w:p>
      <w:r>
        <w:t>IT: TAF D-276/2024 del 11 dicembre 2023</w:t>
      </w:r>
    </w:p>
    <w:p>
      <w:pPr>
        <w:pStyle w:val="Heading2"/>
      </w:pPr>
      <w:r>
        <w:t>Regeste</w:t>
      </w:r>
    </w:p>
    <w:p>
      <w:r>
        <w:t>Asyl und Wegweisung | Asyl und Wegweisung; Verfügung des SEM vom 11. Dezember 2023</w:t>
      </w:r>
    </w:p>
    <w:p>
      <w:pPr>
        <w:pStyle w:val="Heading2"/>
      </w:pPr>
      <w:r>
        <w:t>Erwägungen</w:t>
      </w:r>
    </w:p>
    <w:p>
      <w:r>
        <w:rPr>
          <w:b/>
        </w:rPr>
        <w:t>E. 18</w:t>
      </w:r>
    </w:p>
    <w:p>
      <w:r>
        <w:t>Oktober 2023 ausdrücklich dazu aufforderte bis zum 2. November 2023 ebendiese einzureichen (vgl. A15/1 F90), dass soweit der Beschwerdeführer unter Berufung auf Art. 110 Abs. 2 AsylG rügt, diese Frist sei zu kurz gewesen, darauf hinzuweisen ist, dass sich die vorgenannte Bestimmung auf das Beschwerdeverfahren vor Ge- richt bezieht (vgl. Urteil des BVGer E-6303/2019 vom 2. September 2021 E. 8), dass die Vorinstanz ihm zur Einreichung der in Aussicht gestellten Beweis- mittel denn ohnehin angemessen Zeit einräumte, indem sie rund zwei Mo- nate zuwartete, bevor sie ihren Entscheid vom 11. Dezember 2023 erliess, zumal es ihm auch nach Ablauf der vom SEM gesetzten Frist am 2. No- vember 2023 frei stand im Rahmen von Art. 32 Abs. 2 VwVG weitere Be- weismittel nachzureichen (vgl. hierzu auch Urteil des BVGer D-137/2017 vom 25. April 2019 E. 2.2.) dass der Umstand, dass er seine Beweismittel vor Abschluss des erstin- stanzlichen Verfahrens nicht einreichte, ihm selbst anzulasten ist und seine Erklärungsversuche, wonach die Beschaffung der Dokumente schwierig gewesen sei, da sein N-Ausweis erst per 26. Oktober 2023 ausgestellt wor- den sei und er in der Folge seinen türkischen Anwalt erst am 1. Dezember 2023 habe bevollmächtigen können (vgl. Beschwerdebeilage 10 und A31/10), nicht zu überzeugen vermögen, zumal allfällige Verzögerungen bei der Beweismittelbeschaffung in der Risikosphäre des Beschwerdefüh- rers liegen (vgl. die Beweisfolgelast von Art. 7 AsylG), dass die Vorinstanz den vorliegenden Sachverhalt denn rechtsgenüglich abgeklärt, sich in der angefochtenen Verfügung nachvollziehbar und hin- reichend differenziert mit den zentralen Vorbringen des Beschwerdeführers auseinandergesetzt und diese sowie seine (bis zum Abschluss des erstin- stanzlichen Verfahrens eingereichten) Beweismittel in der Entscheid- findung berücksichtigt hat, dass der blosse Umstand, dass der Beschwerdeführer die Beurteilung des SEM nicht teilt, keine unrichtige respektive unvollständige Sachverhalts- feststellung oder eine Gehörsverletzung darstellt, sondern die Frage der materiellen Würdigung beschlägt, mangels reformatorischer Rechtsbegeh- ren diese jedoch nicht Prüfungsgegenstand ist, dass demnach keine Verletzung der Verfahrensrechte des Beschwerde- führers festzustellen ist und die angefochtene Verfügung in formeller</w:t>
      </w:r>
    </w:p>
    <w:p>
      <w:r>
        <w:t>D-276/2024 Seite 6 Hinsicht nicht zu beanstanden ist, weshalb die Rückweisung der Sache an die Vorinstanz zur Neubeurteilung ausser Betracht fällt, dass die Dispositivziffern 1 bis 3 der angefochtenen Verfügung (Verneinung der Flüchtlingseigenschaft, Ablehnung des Asylgesuchs und Wegweisung aus der Schweiz) nach dem Gesagten in Rechtskraft erwachsen sind, wo- gegen von Amtes wegen zu prüfen ist, ob das SEM den Vollzug der Weg- weisung zu Recht für zulässig, zumutbar und möglich befunden hat,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keine Hinweise auf eine flüchtlingsrechtlich relevante Ver- folgung bestehen (Art. 5 Abs. 1 AsylG; Art. 33 Abs. 1 FK [SR 0.142.30]) und auch keine konkreten Anhaltspunkte für eine in der Heimat drohende menschenrechtswidrige Behandlung (im Sinne von Art. 3 EMRK) ersicht- lich sind, zumal die angefochtene Verfügung im Flüchtlingspunkt nach dem oben Gesagten in Rechtskraft erwächst, dass den auf Beschwerdeebene zu den Akten gereichten Beweismitteln mangels Vorliegens im Original in diesem Zusammenhang kaum Beweis- wert zukommt, dass darüber hinaus auf eine Übersetzung von Amtes wegen der lediglich in türkischer Sprache eingereichten Beweismittel verzichtet werden kann, zumal sie in der Beschwerdeschrift in deutscher Sprache benannt werden und der aus dieser Beschreibung hervorgehende Inhalt dem Vollzug der Wegweisung nicht entgegensteht (antizipierte Beweiswürdigung), dass gemäss konstanter Praxis des Bundesverwaltungsgerichts in der Tür- kei nicht von einer Situation allgemeiner Gewalt oder bürgerkriegsähnlichen</w:t>
      </w:r>
    </w:p>
    <w:p>
      <w:r>
        <w:t>D-276/2024 Seite 7 Verhältnissen – auch nicht für Angehörige der kurdischen Ethnie – auszu- gehen ist (vgl. Urteil des BVGer D-3489/2023 vom 28. November 2023 E. 9.4.1 m.w.H.), dass der junge und gesunde Beschwerdeführer über eine gute Schulbil- dung und Berufserfahrung sowie ein grosses familiäres Beziehungsnetz in der Türkei verfügt (vgl. A15/13 F5, F17 ff., F29),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D-276/2024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