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D-2769/2009 vom 22. Juli 2009</w:t>
      </w:r>
    </w:p>
    <w:p>
      <w:r>
        <w:t>Bundesverwaltungsgericht, 2009-07-22, DE</w:t>
      </w:r>
    </w:p>
    <w:p>
      <w:r>
        <w:rPr>
          <w:b/>
        </w:rPr>
        <w:t xml:space="preserve">Quelle: </w:t>
      </w:r>
      <w:r>
        <w:t>https://mcp.opencaselaw.ch/entscheid/bvger_D-2769_2009</w:t>
      </w:r>
    </w:p>
    <w:p>
      <w:r>
        <w:t>FR: TAF D-2769/2009 du 22 juillet 2009</w:t>
      </w:r>
    </w:p>
    <w:p>
      <w:r>
        <w:t>IT: TAF D-2769/2009 del 22 luglio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sowie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im Wesentlichen mit der Begründung ab, seine Vorbringen würden nicht der allgemeinen Logik des Handelns entsprechen. Die Schilderungen seiner Festnahme, Zwangsrekrutierung und Flucht beschränkten sich auf sehr allgemeine, unsubstanziierte sowie standardisierte Aussagen. Darüber hinaus würden die von ihm geschilderten Umstände seines Entkommens aus dem Militärcamp in H._______ und seiner anschliessenden Flucht in den C._______ - einem Marsch zu Fuss - wenig glaubhaft erscheinen. Auch die Beschreibung seiner unverzüglichen Weiterreise nach D._______ (nach nur sehr kurzem Aufenthalt im C._______, wo er vorher mehrere Jahre bei seiner Grossmutter gelebt habe) sei unrealistisch. Dementsprechend genügten die Vorbringen des Beschwerdeführers den Anforderungen an die Glaubhaftigkeit gemäss Art. 7 AsylG nicht. Der Vollzug der Wegweisung sei jedoch nicht zumutbar, weshalb der Beschwerdeführer vorläufig in der Schweiz aufgenommen werde.</w:t>
      </w:r>
    </w:p>
    <w:p>
      <w:r>
        <w:rPr>
          <w:b/>
        </w:rPr>
        <w:t>E. 4.2</w:t>
      </w:r>
    </w:p>
    <w:p>
      <w:r>
        <w:t>In der Rechtsmitteleingabe wird sinngemäss gerügt, das BFM sei zu Unrecht von der Unglaubhaftigkeit der Vorbringen ausgegangen und habe damit Bundesrecht verletzt. Der Beschwerdeführer habe seine Asylvorbringen präzise geschildert und damit genügend glaubhaft gemacht.</w:t>
      </w:r>
    </w:p>
    <w:p>
      <w:r>
        <w:rPr>
          <w:b/>
        </w:rPr>
        <w:t>E. 4.3</w:t>
      </w:r>
    </w:p>
    <w:p>
      <w:r>
        <w:t>Indessen vermögen die Vorbringen in der Beschwerdeschrift nicht zu einer veränderten Betrachtungsweise zu führen. Was die einzelnen Unglaubhaftigkeitselemente anbelangt, so kann auf die vorinstanzliche Verfügung verwiesen werden, zumal die Beschwerdeschrift eine individuelle Auseinandersetzung mit den vorinstanzlichen Erwägungen vermissen lässt und meist lediglich auf die allgemeine politische Lage in Eritrea hinweist. Zudem kann der Beschwerdeführer seine Vorbringen mit keinerlei beweistauglicher Akten untermauern. Der Beschwerdeführer konnte somit auch im Beschwerdeverfahren seine angebliche Zwangsrekrutierung und anschliessende Desertion nicht glaubhaft machen. Das Bundesverwaltungsgericht geht daher in Übereinstimmung mit der Vorinstanz davon aus, dass der Beschwerdeführer vor seiner Ausreise aus dem C._______ in keinem konkreten Kontakt mit den staatlichen Militärbehörden stand. Die Rüge der Verletzung von Art. 7 AsylG erweist sich somit als unbegründet.</w:t>
      </w:r>
    </w:p>
    <w:p>
      <w:r>
        <w:rPr>
          <w:b/>
        </w:rPr>
        <w:t>E. 5.1</w:t>
      </w:r>
    </w:p>
    <w:p>
      <w:r>
        <w:t>Subjektive Nachfluchtgründe liegen vor, wenn Flüchtlinge erst durch ihre Ausreise aus dem Heimat- oder Herkunftstaat oder wegen ihres Verhaltens nach der Ausreise Flüchtlinge im Sinne von Art. 3 AsylG werden.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dazu die nach wie vor gültigen und zutreffenden Ausführungen in Entscheidungen und Mitteilungen der Schweizerischen Asylrekurskommission [EMARK] 1995 Nr. 7 E. 7b und 8 S. 67 ff.; EMARK 2000 Nr. 16 E. 5a S. 141 f., mit weiteren Hinweisen).</w:t>
      </w:r>
    </w:p>
    <w:p>
      <w:r>
        <w:rPr>
          <w:b/>
        </w:rPr>
        <w:t>E. 5.2</w:t>
      </w:r>
    </w:p>
    <w:p>
      <w:r>
        <w:t>Indem der Beschwerdeführer sein Heimatland im militärpflichtigen Alter illegal verliess, setzte er einen Grund, im Falle einer Rückkehr Opfer von asylrechtlich relevanten Verfolgungen zu werden. In Eritrea wird ein derartiges Verhalten im Falle einer Heimreise hart bestraft (vgl. EMARK 2006 Nr. 3 S. 29 ff., vgl. auch EMARK 2004 Nr. 22 E. 5c S. 149/50). Aus diesem Grund wird dem Beschwerdeführer die Flüchtlingseigenschaft zuerkannt. In Anwendung von Art. 54 AsylG erhält er allerdings kein Asyl.</w:t>
      </w:r>
    </w:p>
    <w:p>
      <w:r>
        <w:rPr>
          <w:b/>
        </w:rPr>
        <w:t>E. 6</w:t>
      </w:r>
    </w:p>
    <w:p>
      <w:r>
        <w:t>Lehnt das Bundesamt das Asylgesuch ab oder tritt es darauf nicht ein, so verfügt es in der Regel die Wegweisung aus der Schweiz und ordnet deren Vollzug an (Art. 44 Abs. 1 AsylG). Im vorliegenden Fall wurde jedoch der Wegweisungsvollzug infolge Unzumutbarkeit aufgeschoben. Da der Beschwerdeführer aufgrund des Vorliegens subjektiver Nachfluchtgründe gemäss Art. 54 AsylG Flüchtling im Sinne des Asylgesetzes ist, gilt der Vollzug der Wegweisung in Nachachtung von Art. 83 Abs. 3 des Bundesgesetzes vom 16. Dezember 2005 über die Ausländerinnen und Ausländer [AuG; SR 142.20]) i.V.m. Art. 5 Abs. 1 AsylG (sowie Art. 25 Abs. 2 der Bundesverfassung der Schweizerischen Eidgenossenschaft vom 18. April 1999 [BV, SR 101] und Art. 33 Abs. 1 des Abkommens vom 28. Juli 1951 über die Rechtsstellung der Flüchtlinge [FK, SR 0.142.30]) überdies auch als unzulässig. Da sich aus den Akten keine Hinweise auf allfällige Ausschlussgründe im Sinne von Art. 83 Abs. 7 AuG ergeben, ist die vorläufige Aufnahme des Beschwerdeführers wegen Unzulässigkeit der Wegweisung zu bestätigen.</w:t>
      </w:r>
    </w:p>
    <w:p>
      <w:r>
        <w:rPr>
          <w:b/>
        </w:rPr>
        <w:t>E. 7</w:t>
      </w:r>
    </w:p>
    <w:p>
      <w:r>
        <w:t>Die angefochtene Verfügung ist daher zu bestätigen, soweit sie das Asylgesuch des Beschwerdeführers abweist und in der Folge die Wegweisung aus der Schweiz anordnet, jedoch den Vollzug der Wegweisung zugunsten einer vorläufigen Aufnahme aufschob. Sie ist demgegenüber aufzuheben, soweit sie die Flüchtlingseigenschaft des Beschwerdeführers verneint. Die Beschwerde ist daher teilweise gutzuheissen, soweit die Anerkennung der Flüchtlingseigenschaft beantragt wird. Im Übrigen ist sie abzuweisen.</w:t>
      </w:r>
    </w:p>
    <w:p>
      <w:r>
        <w:rPr>
          <w:b/>
        </w:rPr>
        <w:t>E. 8.1</w:t>
      </w:r>
    </w:p>
    <w:p>
      <w:r>
        <w:t>Bei diesem Ausgang des Verfahrens - welches rechnerisch als hälftiges Obsiegen zu beurteilen ist - wären die reduzierten Kosten von Fr. 300.-- dem Beschwerdeführer aufzuerlegen (Art. 63 Abs. 1 VwVG). Da die Rechtsbegehren des Beschwerdeführers indes nicht als aussichtslos zu erachten waren, hiess der zuständige Instruktionsrichter des Bundesverwaltungsgerichts mit Verfügung vom 8. Mai 2009 das Gesuch des bedürftigen Beschwerdeführers um Erlass der Verfahrenskosten gut und verzichtete in der Folge auf die Erhebung eines Kostenvorschusses. Vorliegend ist nicht davon auszugehen, die finanzielle Lage des Beschwerdeführers habe sich zwischenzeitlich verändert, weshalb dieser weiterhin als mittellos im Sinne von Art. 65 Abs. 1 VwVG zu erachten ist. Es sind demnach keine Verfahrenskosten zu erheben.</w:t>
      </w:r>
    </w:p>
    <w:p>
      <w:r>
        <w:rPr>
          <w:b/>
        </w:rPr>
        <w:t>E. 8.2</w:t>
      </w:r>
    </w:p>
    <w:p>
      <w:r>
        <w:t>Gemäss Art. 64 Abs. 1 VwVG kann die Beschwerdeinstanz der obsiegenden Partei eine Parteientschädigung für die notwendigen und verhältnismässig hohen Kosten zusprechen. Dem vertretenen Beschwerdeführer ist angesichts seines teilweisen Obsiegens eine reduzierte Parteientschädigung zuzusprechen (Art. 7 Abs. 2 des Reglements vom 21. Februar 2008 über die Kosten und Entschädigungen vor dem Bundesverwaltungsgericht [VGKE, SR 173.320.2]). Der Rechtsvertreter hat keine Kostennote eingereicht, der Vertretungsaufwand kann aufgrund der Akten jedoch zuverlässig abgeschätzt werden, weshalb auf die Einholung einer Kostennote zu verzichten ist (vgl. Art. 14 Abs. 2 VGKE). Unter Berücksichtigung der massgebenden Berechnungsfaktoren (Art. 9 - 11 und 13 VGKE) ist die um die Hälfte zu kürzende Parteientschädigung auf Fr. 500.-- (inkl. Auslagen und MWST) festzusetzen. Das BFM ist anzuweisen, dem Beschwerdeführer diesen Betrag als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