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D-2769/2007 vom 1. Mai 2009</w:t>
      </w:r>
    </w:p>
    <w:p>
      <w:r>
        <w:t>Bundesverwaltungsgericht, 2009-05-01, DE</w:t>
      </w:r>
    </w:p>
    <w:p>
      <w:r>
        <w:rPr>
          <w:b/>
        </w:rPr>
        <w:t xml:space="preserve">Quelle: </w:t>
      </w:r>
      <w:r>
        <w:t>https://mcp.opencaselaw.ch/entscheid/bvger_D-2769_2007</w:t>
      </w:r>
    </w:p>
    <w:p>
      <w:r>
        <w:t>FR: TAF D-2769/2007 du 1 mai 2009</w:t>
      </w:r>
    </w:p>
    <w:p>
      <w:r>
        <w:t>IT: TAF D-2769/2007 del 1 maggio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und Art.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4</w:t>
      </w:r>
    </w:p>
    <w:p>
      <w:r>
        <w:t>Der Beschwerdeführer beantragt die vorläufige Aufnahme als Flüchtling gemäss Art. 54 AsylG.</w:t>
      </w:r>
    </w:p>
    <w:p>
      <w:r>
        <w:rPr>
          <w:b/>
        </w:rPr>
        <w:t>E. 4.1</w:t>
      </w:r>
    </w:p>
    <w:p>
      <w:r>
        <w:t>Eine Person, welche sich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verfolgen würde (vgl. Entscheidungen und Mitteilungen der Schweizerischen Asylrekurskommission [EMARK] 1995 Nr. 9 E. 8c S. 91). Subjektive Nachfluchtgründe begründen zwar die Flüchtlingseigenschaft im Sinn von Art. 3 AsylG, führen jedoch nach Art. 54 AsylG nicht zur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4.2</w:t>
      </w:r>
    </w:p>
    <w:p>
      <w:r>
        <w:t>Gemäss Erkenntnissen des Bundesverwaltungsgerichts (vgl. Urteile D-4943/2006 vom 8. Juli 2008, D-2332/2008 vom 9. September 2008, D-2401/2008 vom 6. Oktober 2008, D-5305/2008 vom 17. Oktober 2008 und D-3511/2008 vom 24. Oktober 2008) ist zwar davon auszugehen, dass die äthiopischen Sicherheitsbehörden die Aktivitäten der jeweiligen Exilgemeinschaften in einem gewissen Ausmass überwachen und mittels elektronischer Datenbanken registrieren. Angesichts der 2007 in Äthiopien erfolgten Amnestie von einigen Mitgliedern der _______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des Beschwerdeführers sowie insbesondere dessen konkrete exilpolitische Tätigkeit. Es ist zwar grundsätzlich unbestritten, dass er sich diesbezüglich betätigt hat. Fraglich ist aber, in welchem Ausmass diese exilpolitischen Tätigkeiten ausgefallen sind. Gemäss dem erwähnten Schreiben der _______ vom 5. März 2006 soll er als Mitglied dieser Partei beziehungsweise der _______ Demonstrationen organisiert haben. Demgegenüber legte er anlässlich der Anhörung vom 9. März 2007 dar, seit 2004 Mitglied der _______ beziehungsweise der _______ zu sein. Er habe an verschiedenen Sitzungen, Demonstrationen und Videokonferenzen, welche durch diese Partei organisiert worden seien, teilgenommen und Flugblätter verteilt. Zudem habe er Kontakte zu Kadermitgliedern der _______ in Äthiopien gepflegt. Dass er tatsächlich als Organisator von Demonstrationen in Erscheinung getreten wäre, kann seinen eigenen Aussagen mithin nicht entnommen werden, und die Einschätzung der Vorinstanz, er weise kein markantes exilpolitisches Profil auf, ist insoweit naheliegender als die in der Beschwerdeschrift vertretene Sichtweise. In der Beschwerdeschrift wird im Übrigen lediglich geltend gemacht, es sei in die Büroräumlichkeiten der _______ in Äthiopien eingebrochen worden, und es bestehe die grosse Gefahr, dass auch Listen von Mitgliedern im Ausland in die Hände der Regierung gefallen seien. Anlässlich der Anhörung vom 9. März 2007 hatte der Beschwerdeführer jedoch explizit geltend gemacht, bei besagtem Einbruch sei sein Mitgliedschaftsformular samt Foto in die Hände der Regierung gefallen. Diese unterschiedlichen Darlegungen lassen wiederum Zweifel daran aufkommen, dass der Beschwerdeführer in einer angeblich führenden Funktion für die _______ tätig gewesen sein soll. Es trifft zwar zu, dass er im Sinne der Beschwerdevorbringen im eingereichten Bestätigungsschreiben der _______ vom 5. März 2006 als aktives Mitglied und als Organisator von Demonstrationen erwähnt wird. In Anbetracht der Aktenlage kommt diesen Feststellungen jedoch der blosse Beweiswert von Gefälligkeitsaussagen zu. Im Weiteren vermochte er im Rahmen des ersten Asylverfahrens das geltend gemachte politische Engagement und die damit verbundenen Inhaftierungen samt Folter entgegen den Beschwerdevorbringen nicht glaubhaft zu machen. Die Feststellung des Bundesamtes, vor seiner Ausreise sei er den heimatlichen Behörden in politischer Hinsicht nicht aufgefallen, dürfte somit zutreffen. Im Ergebnis ist demnach von einem wesentlich geringeren als dem geltend gemachten Ausmass exilpolitischer Tätigkeiten des Beschwerdeführers auszugehen. Gemäss Praxis des Bundesverwaltungsgerichts können exilpolitische Aktivitäten indes nur dann zur Zuerkennung der Flüchtlingseigenschaft aufgrund von subjektiven Nachfluchtgründen führen, wenn zumindest glaubhaft gemacht wird, dass im Falle einer Rückkehr in den Heimat- bzw. Herkunftsstaat infolge dieser Aktivitäten mit überwiegender Wahrscheinlichkeit mit politischer Verfolgung zu rechnen wäre (vgl. Urteile des Bundesverwaltungsgerichts D-7379/2007 vom 6. März 2008, E-113/2008 vom 26. Mai 2008). Der erwähnte Umstand, wonach die Aktivitäten äthiopischer Exilorganisationen von regimetreuen Bürgern oder im Ausland lebenden Behördenvertretern beobachtet werden, reicht für sich allein genommen noch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Derartige konkrete Hinweise bestehen aufgrund der nur in einem bescheidenen Ausmass glaubhaften Exiltätigkeiten indes nicht (vgl. dazu auch das Anhörungsprotokoll C 26/6). Vielmehr ist mit der Vorinstanz davon auszugehen, dass die äthiopischen Behörden nur dann ein Interesse an der Identifizierung einer Person zwecks deren Überwachung oder Verfolgung haben, wenn deren Aktivitäten als konkrete Bedrohung für das politische System wahrgenommen werden. Für die Annahme, der Beschwerdeführer habe sich in dieser besonderen Art und Weise betätigt, bestehen aber keine Anhaltspunkte. Er gehört offensichtlich nicht zur Zielgruppe des "harten Kerns" von aktiven oppositionellen Äthiopiern im Ausland, für die sich die äthiopischen Behörden mutmasslich interessieren. Es ist daher nicht mit beachtlicher Wahrscheinlichkeit davon auszugehen, dass die äthiopischen Behörden aus heutiger Sicht beim Beschwerdeführer von einer Bedrohung für das Regime ausgehen. Zudem fehlen Hinweise dafür, dass gegen ihn aufgrund seiner exilpolitischen Tätigkeit in Äthiopien ein Strafverfahren oder andere behördliche Massnahmen eingeleitet worden wären.</w:t>
      </w:r>
    </w:p>
    <w:p>
      <w:r>
        <w:rPr>
          <w:b/>
        </w:rPr>
        <w:t>E. 4.3</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 einzugehen.</w:t>
      </w:r>
    </w:p>
    <w:p>
      <w:r>
        <w:rPr>
          <w:b/>
        </w:rPr>
        <w:t>E. 4.4</w:t>
      </w:r>
    </w:p>
    <w:p>
      <w:r>
        <w:t>Unter Berücksichtigung der gesamten Umstände folgt, dass der Beschwerdeführer keine Gründe nach Art. 3 AsylG nachweisen oder glaubhaft machen konnte. Die Vorinstanz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unter Hinweis auf die vorstehenden Erwägungen nicht gelungen ist.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In Äthiopien herrscht zurzeit keine Situation allgemeiner Gewalt, weshalb in konstanter Praxis von der generellen Zumutbarkeit des Wegweisungsvollzugs nach Äthiopien ausgegangen wird (vgl. Urteile des Bundesverwaltungsgerichts E-113/2008 vom 26. Mai 2008, D-4943/2006 vom 8. Juli 2008;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des Beschwerdeführers ausgegangen werden.</w:t>
      </w:r>
    </w:p>
    <w:p>
      <w:r>
        <w:rPr>
          <w:b/>
        </w:rPr>
        <w:t>E. 6.4.2</w:t>
      </w:r>
    </w:p>
    <w:p>
      <w:r>
        <w:t>In den Akten finden sich auch keine konkreten Anhaltspunkte dafür, dass der Beschwerdeführer aus individuellen Gründen wirtschaftlicher, sozialer oder gesundheitlicher Natur in eine existenzbedrohende Situation geraten würde. Es ist ihm, der über eine gute Ausbildung und einige Berufserfahrung verfügt, zuzumuten, sich erneut vor Ort niederzulassen und dort eine Existenz aufzubauen. Seine Angaben, gemäss welchen Angehörige aus politischen Gründen behelligt worden sein sollen, wirken in Anbetracht der rechtskräftig festgestellten Unglaubhaftigkeit der angeblichen Vorverfolgung nicht überzeugend, weshalb auch in Würdigung seiner langen Landesabwesenheit davon ausgegangen werden kann, er verfüge nach der Rückkehr über ein gewisses soziales Netz im Herkunftsort _______. Nach dem Gesagten erweist sich der Vollzug der Wegweisung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dem Beschwerdeführer aufzuerlegen (Art. 63 Abs. 1 VwVG). Da sein Gesuch im Sinne von Art. 65 Abs. 1 VwVG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