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D-2760/2022 vom 20. Mai 2022</w:t>
      </w:r>
    </w:p>
    <w:p>
      <w:r>
        <w:t>Bundesverwaltungsgericht, 2022-05-20, DE</w:t>
      </w:r>
    </w:p>
    <w:p>
      <w:r>
        <w:rPr>
          <w:b/>
        </w:rPr>
        <w:t xml:space="preserve">Quelle: </w:t>
      </w:r>
      <w:r>
        <w:t>https://mcp.opencaselaw.ch/entscheid/bvger_D-2760_2022_d20220520</w:t>
      </w:r>
    </w:p>
    <w:p>
      <w:r>
        <w:t>FR: TAF D-2760/2022 du 20 mai 2022</w:t>
      </w:r>
    </w:p>
    <w:p>
      <w:r>
        <w:t>IT: TAF D-2760/2022 del 20 maggio 2022</w:t>
      </w:r>
    </w:p>
    <w:p>
      <w:pPr>
        <w:pStyle w:val="Heading2"/>
      </w:pPr>
      <w:r>
        <w:t>Regeste</w:t>
      </w:r>
    </w:p>
    <w:p>
      <w:r>
        <w:t>Asyl und Wegweisung | Asyl und Wegweisung; Verfügung des SEM vom 20.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D-2760/2022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zunächst gerügt, das SEM habe sich nur rudi- mentär mit dem Gesundheitszustand der Beschwerdeführenden auseinan- dergesetzt. Obwohl sie die Vorinstanz über ihre psychischen Leiden in Kenntnis gesetzt hätten, habe diese es versäumt, weitere diesbezügliche Abklärungen vorzunehmen. Diese formelle Rüge ist vorab zu beurteilen, da sie allenfalls geeignet ist, eine Kassation der vorinstanzlichen Verfü- gung zu bewirken.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(vgl. BVGE 2016/2 E. 4.3.).</w:t>
      </w:r>
    </w:p>
    <w:p>
      <w:r>
        <w:rPr>
          <w:b/>
        </w:rPr>
        <w:t>E. 3.3</w:t>
      </w:r>
    </w:p>
    <w:p>
      <w:r>
        <w:t>Das Gericht stellt fest, dass der medizinische Sachverhalt vorliegend rechtsgenügend abgeklärt worden ist. Zwar trifft es zu, dass der Beschwer- deführer 1 angegeben hat, dass er emotionale und psychische Probleme habe (vgl. SEM-eAkte […]-33/14 [nachfolgend 33/14] D4) und auch seine Kinder emotional labil seien (vgl.33/14 D4). Da jedoch keine konkreten Hin- weise auf die Notwendigkeit der Durchführung weiterer medizinischer Ab- klärungen vorliegen, ist bei dieser Sachlage auf die Mitwirkungspflicht im Sinne von Art. 8 AsylG zu verweisen. Der in der Beschwerdeschrift ange- kündigte und mit der Replik eingereichte Arztbericht vermag diese Ein- schätzung nicht zu erschüttern; er ist indes im Rahmen der materiellen Prü- fung zu würdigen (vgl. E. 8.4.3). Nach dem Gesagten deutet nichts darauf hin, dass die Vorinstanz nicht alle für die Feststellung des medizinischen</w:t>
      </w:r>
    </w:p>
    <w:p>
      <w:r>
        <w:t>D-2760/2022 Seite 8 Sachverhalts erheblichen Sachumstände berücksichtigt hätte. Die formelle Rüge erweist sich demnach als unbegründet und der subeventualiter ge- stellte Antrag auf Rückweisung der Sache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Verfügung vom 20. Mai 2022 aus, es bestehe eine interne Schutzalternative. Die Beschwerdeführenden hätten aufgrund der Drohanrufe und der verdächtigen Autos Cali sofort verlassen und Schutz in einem abgelegenen Landhaus gesucht. Dort hätten sie sich ge- mäss den Aussagen der Beschwerdeführenden 1 und 2 sicher gefühlt. Nach Cali seien sie nur deshalb zurückgekehrt, weil sie sich dort zu isoliert gefühlt hätten und der Beschwerdeführer seine Arbeit und sein politisches Engagement nicht habe fortführen können. Nach dem Angriff am 27. No- vember 2021 seien sie am 2. Dezember 2021 in die Wohnung der Eltern des Beschwerdeführers 1 gezogen, welche sich ebenfalls in der Stadt Cali befinde. Dort seien sie bis zu ihrer Ausreise am 31. Dezember 2021 unbe- helligt geblieben. In der Folge sei davon auszugehen, dass die Angreifer sie in einem anderen Stadtteil nicht suchen würden. Hinzu komme, dass sich der Beschwerdeführer 1 zwar politisch aktiv für eine Linkspartei enga- giert habe, sein politisches Profil jedoch auf keine besondere Exponiertheit hindeute, zumal er lediglich auf lokaler Ebene tätig gewesen und auch nicht</w:t>
      </w:r>
    </w:p>
    <w:p>
      <w:r>
        <w:t>D-2760/2022 Seite 9 im Besitz besonders sensibler Informationen gewesen sei. In der Folge sei es für die Beschwerdeführenden möglich, sich an einem anderen Ort, etwa in Bogotá, niederzulassen, um einer künftigen lokalen Verfolgung zu ent- gehen; in Gesamtwürdigung des Sachverhalts erscheine es unwahrschein- lich, dass die AUC die Beschwerdeführenden auch an einem anderen Ort aufsuchen würden. Auch wäre es ihnen zumutbar gewesen, dort eine Ant- wort der UNP betreffend ihr Schutzersuchen abzuwarten. Ergänzend sei darauf hinzuweisen, dass José Alberto Tejada anlässlich der Parlaments- wahlen vom 13. März 2022 in das kolumbianische Repräsentantenhaus gewählt worden sei. Somit sei davon auszugehen, dass der Verfolgungs- grund der Angreifer, die Verhinderung der Wahl von Tejada, weggefallen sei, womit den Beschwerdeführenden im Fall einer Rückkehr keine ernst- haften Nachteile mehr drohen würden.</w:t>
      </w:r>
    </w:p>
    <w:p>
      <w:r>
        <w:rPr>
          <w:b/>
        </w:rPr>
        <w:t>E. 5.2</w:t>
      </w:r>
    </w:p>
    <w:p>
      <w:r>
        <w:t>Die Beschwerdeführenden entgegneten in ihrer Beschwerdeschrift, der Beschwerdeführer 1 habe aufgrund seiner politischen Anschauungen ernsthafte Nachteile im Sinne von Art. 3 AsylG erlitten. Dies würden die eingereichten Fotos zeigen, auf welchen deutlich Einschusslöcher in der Karosserie seines Autos erkennbar seien. Da sich der Angriff und die Dro- hungen auch gegen seine Familienmitglieder gerichtet hätten, seien diese im Sinne einer Reflexverfolgung betroffen. Sie hätten wiederholt versucht, staatlichen Schutz in Anspruch zu nehmen, um sich vor weiteren Behelli- gungen durch die AUC zu schützen. Dabei habe sich herausgestellt, dass der kolumbianische Staat nicht fähig oder willens sei, sie adäquat zu schüt- zen. Die Polizei in Cali habe selbst eingestanden, dass ihnen aufgrund we- niger verfügbarer Truppen und der hohen Delinquenz der ihnen zu- stehende Schutz nicht gewährt werden könne. Auch die UNP sei weder willens noch fähig gewesen, ihnen effektiven Schutz vor Verfolgung zu ge- währen, zumal alleine die Bearbeitung des Antrags mehr als drei Monate in Anspruch nehmen würde. Insgesamt müsse festgestellt werden, dass sie sich durchaus um Schutz bemüht hätten, ihnen jedoch trotz dieser Be- mühungen kein effektiver Schutz gewährt worden sei. Ferner sei die AUC auf dem gesamten Staatsgebiet Kolumbiens tätig sei, weshalb auch keine landesinterne Fluchtalternative bestehe. Auch eine Schutzalternative würde nicht bestehen, da die kolumbianischen Behörden auch in anderen Landesteilen nicht schutzfähig oder -willig seien. Somit würden sie sämtli- che Voraussetzungen an die Flüchtlingseigenschaft erfüllen, weshalb ihnen Asyl zu gewähren sei.</w:t>
      </w:r>
    </w:p>
    <w:p>
      <w:r>
        <w:rPr>
          <w:b/>
        </w:rPr>
        <w:t>E. 5.3</w:t>
      </w:r>
    </w:p>
    <w:p>
      <w:r>
        <w:t>In ihrer Vernehmlassung erwiderte die Vorinstanz, der kolumbianische Staat gelte grundsätzlich als schutzfähig und -willig. Es sei zwar zutreffend,</w:t>
      </w:r>
    </w:p>
    <w:p>
      <w:r>
        <w:t>D-2760/2022 Seite 10 dass sich die Beschwerdeführenden an den Staat gewandt hätten, aller- dings hätten sie die Antwort auf ihren Schutzantrag bei der UNP nicht ab- gewartet, sondern seien ausgereist. Es sei zwar bekannt, dass die Behand- lung von Schutzanträgen bei der UNP lange Zeit in Anspruch nehmen könne; vorliegend sei dies jedoch auch dem Umstand geschuldet gewe- sen, dass der Antrag aufgrund des niedrigen Profils des Beschwerdefüh- rers 1 nicht prioritär behandelt worden sei. Es wäre ihnen daher durchaus zumutbar gewesen, in einem anderen Landesteil auf die Antwort der UNP zu warten. In der Folge könne nicht auf die Schutzunfähigkeit Kolumbiens geschlossen werden. Ferner sei festzustellen, dass die AUC im Jahr 2006 demobilisiert worden sei. In der Folge seien verschiedene Gruppierungen entstanden, welche die Struktur und die Ideologie der ehemaligen AUC tei- len würden. Grössere Gruppen, wie die Autodefensas Gaitanistas de Co- lombia (AGC), auch bekannt als Urabeños oder Clan deI Golfo, seien in mehreren Departementen des Landes aktiv. Weitere kleinere Gruppierun- gen, wie etwa die Rastrojos, seien regional tätig. Daneben würden kleinere Banden mit lokaler Reichweite, wie etwa Los Shotas in Buenaventura, exis- tieren. Diese Gruppen seien an einem breiten Spektrum krimineller Aktivi- täten beteiligt, wozu Schmuggel und Handel mit illegalen Substanzen, Per- sonen und Waffen, Erpressung, Auftragsmorde, Geldwäsche und Prostitu- tion gehörten. Es sei bekannt, dass diese auch Angriffe und Morde gegen Menschenrechtsaktivisten und sogenannte soziale Anführer (lideres socia- les) verübten. Mit Blick auf das Valle del Cauca sei festzustellen, dass in dieser Region die Präsenz neoparamilitärischer Gruppen verzeichnet sei. Gemäss den konsultierten Berichten sei eine spezifische Gruppierung mit der Bezeichnung AUC im Valle del Cauca jedoch nicht bekannt. Dies könnte – gemäss der durchgeführten Länderanalyse – darauf hindeuten, dass die wahre Täterschaft hinter den Angriffen verschleiert werden sollte, was nicht unüblich sei. Jedenfalls gebe es keine Hinweise darauf, dass aktuell eine paramilitärische Organisation mit einer nationalen Struktur analog zur damaligen AUC existiere. Ausserdem sei im Hinblick auf die Präsidentschaftswahlen im Juli 2022 festzustellen, dass einer der wichtigs- ten Punkte des Wahlkampfs von Gustavo Petro das Projekt der vollständi- gen Befriedung des Landes gewesen sei. Dieses Projekt umfasse Frie- densgespräche mit der Guerillagruppe ELN, sehe aber auch die Auflösung bewaffneter neoparamilitärischer Gruppen vor, die in den Drogenhandel verwickelt seien. In der Folge bestehe kein Grund, zu einer anderen Ein- schätzung als in der angefochtenen Verfügung zu gelangen.</w:t>
      </w:r>
    </w:p>
    <w:p>
      <w:r>
        <w:rPr>
          <w:b/>
        </w:rPr>
        <w:t>E. 5.4</w:t>
      </w:r>
    </w:p>
    <w:p>
      <w:r>
        <w:t>In ihrer Replik bestritten die Beschwerdeführenden, dass die AGC in verschiedenen Regionen Kolumbiens gar nicht oder nur wenig präsent sei.</w:t>
      </w:r>
    </w:p>
    <w:p>
      <w:r>
        <w:t>D-2760/2022 Seite 11 Bei den AGC handle es sich um eine der mächtigsten kriminellen Organi- sationen, welche in hunderten von Städten und Gemeinden aktiv und für Kokainschmuggel, Schutzgelderpressungen, zahlreiche Morde, Vertrei- bungen und illegalen Bergbau verantwortlich sei. Gemäss einem Bericht von Amnesty International sei die AGC auf etwa 90 Prozent des kolumbia- nischen Staatsgebiets aktiv. Angesichts der Grösse Kolumbiens und der Anzahl konkurrierender Organisationen sei die Machtfülle der AGC als äus- serst weitreichend zu bezeichnen. Ihren Einfluss hätten die AGC im Mai 2022 eindrucksvoll unter Beweis gestellt, als sie aufgrund der Auslieferung von «Otoniel» an die Vereinigten Staaten von Amerika das soziale Leben im gesamten Norden Kolumbiens mittels eines «bewaffneten Streiks» lahmgelegt hätten. Zwar verfüge gemäss den im Rahmen der Länderana- lyse eingereichten Landkarten die AGC nicht in allen Regionen Kolumbiens über territoriale Kontrolle; dies sei allerdings damit zu erklären, dass ein überwiegender Teil der Gebiete, welche die AGC nicht kontrolliere, unter der Kontrolle von Dissidentengruppen der früheren FARC-EP stünden. Es werde daher deutlich, dass in diesen nicht von den AGC kontrollierten Ge- bieten ähnliche Gruppierungen genau die gleichen Methoden anwenden würden. Solche Gebiete seien daher nicht als «Schutzalternative» zu be- zeichnen. Betreffend die Schutzfähigkeit Kolumbiens gelte es festzuhalten, dass sie bereits am 29. November 2022 bei der Staatsanwaltschaft um Schutz ersucht hätten, welcher ihnen faktisch nie gewährt worden sei. Im Anschluss hätten sie daher ihr Zuhause verlassen und sich auf dem Land versteckt. Am 10. Dezember 2021 hätten sie sich an die Nationalpolizei gewandt. Diese habe ihnen mitgeteilt, dass aufgrund der Kapazitäten nur Patrouillen durchgeführt würden. Dies habe angesichts der Bedrohungs- lage keinen effektiven Schutz dargestellt. Folglich hätten sie sich an die Beauftrage für Bürgerrechte gewandt, welche sowohl bei der Polizei wie auch bei der UNP einen Schutzantrag gestellt habe. Trotz des Weiteren, am 22. Dezember 2021 per E-Mail gestellten Antrags bei der UNP, hätten sie bisher keine Antwort erhalten. In der Folge sei im vorliegenden Fall Ko- lumbien nicht schutzwillig oder -fähig gewesen. Die eingereichten Droh- briefe der Águilas Negras, in welchem er – der Beschwerdeführer 1 – na- mentlich erwähnt werde, zeigten ausserdem, dass sie bei einer Rückkehr ernsthaften Nachteilen ausgesetzt wären.</w:t>
      </w:r>
    </w:p>
    <w:p>
      <w:r>
        <w:t>D-2760/2022 Seite 12</w:t>
      </w:r>
    </w:p>
    <w:p>
      <w:r>
        <w:rPr>
          <w:b/>
        </w:rPr>
        <w:t>E. 6.1</w:t>
      </w:r>
    </w:p>
    <w:p>
      <w:r>
        <w:t>Zunächst stellt das Gericht fest, dass das SEM die Glaubhaftigkeit der Vorbringen der Beschwerdeführenden nicht in Zweifel gezogen hat. Nach Durchsicht der Akten gelangt das Gericht zum Schluss, dass kein Grund besteht, von der vorinstanzlichen Einschätzung abzuweichen.</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S. 37). Aufgrund der Subsidiarität des flüchtlingsrechtlichen Schutzes setzt die Zuerkennung der Flüchtlingseigenschaft ausserdem vo- raus, dass die betroffene Person in ihrem Heimatland keinen adäquaten Schutz finden kann (vgl. BVGE 2008/12 E. 7.2.6.2 S. 174f., BVGE 2008/4 E. 5.2 S. 37f.). Ausgangspunkt für die Beurteilung der Flüchtlingseigen- schaft ist die Frage nach der im Zeitpunkt der Ausreise vorhandenen Ver- folgung oder begründeten Furcht vor einer solchen. Die Situation im Zeit- punkt des Asylentscheides ist jedoch im Rahmen der Prüfung, ob aktuell eine Furcht vor Verfolgung noch immer begründet ist, ebenfalls wesentlich. Veränderungen der objektiven Situation im Heimatstaat zwischen Ausreise und Asylentscheid sind deshalb zugunsten und zulasten der das Asylge- such stellenden Person zu berücksichtigen (vgl. BVGE 2008/34 E. 7.1 S. 507f., BVGE 2008/12 E. 5.2 S. 154f.; WALTER STÖCKLI, Asyl, in: Uebersax/Rudin/Hugi Yar/Geiser/Vetterli [Hrsg.], Ausländerrecht, 3. Aufl., Basel 2022, Rz. 14.38).</w:t>
      </w:r>
    </w:p>
    <w:p>
      <w:r>
        <w:rPr>
          <w:b/>
        </w:rPr>
        <w:t>E. 6.3</w:t>
      </w:r>
    </w:p>
    <w:p>
      <w:r>
        <w:t>Mit Blick auf die erlittenen Nachteile – insbesondere der bewaffnete Angriff einschliesslich mehrfacher Schussabgabe auf das Auto der Be- schwerdeführer und die anschliessende Bedrohung mit einer Handfeuer- waffe – gelangt das Gericht zum Schluss, dass diese unbestritten die in Art. 3 Abs. 1 AsylG verlangte Intensität erreicht haben (vgl. Urteil des BVGer E-4140/2014 vom 13. Oktober 2014 E. 5.2) und sich gezielt gegen die Beschwerdeführenden richteten.</w:t>
      </w:r>
    </w:p>
    <w:p>
      <w:r>
        <w:rPr>
          <w:b/>
        </w:rPr>
        <w:t>E. 6.4</w:t>
      </w:r>
    </w:p>
    <w:p>
      <w:r>
        <w:t>Auch eine Verfolgung durch nichtstaatliche Akteure setzt voraus, dass der geltend gemachten Verfolgung eines der in Art. 3 Abs. 1 AsylG ab- schliessend aufgelistetes Motiv zugrunde liegt. Gemäss geltender Praxis</w:t>
      </w:r>
    </w:p>
    <w:p>
      <w:r>
        <w:t>D-2760/2022 Seite 13 ist die Erfüllung der Flüchtlingseigenschaft nicht von einer bestimmten De- finition eines Verfolgungsmotivs abhängig, bestimmen doch letztlich die Verfolger allein, wen sie weshalb verfolgen. Ausschlaggebend ist deshalb vielmehr, ob die Verfolgung wegen äusserer oder innerer Merkmale erfolgt ist beziehungsweise künftig droht, die untrennbar mit der Person oder Per- sönlichkeit des Opfers verbunden sind (u.a. Geschlecht, Abstammung, Herkunft, Zugehörigkeit zu einer Volksgruppe, Sprache, Veranlagung, Hautfarbe, Gebrechen, Glauben, Denken, politische Meinung, Überzeu- gung, Lebenseinstellung). Verfolgung im Sinne des Asylgesetzes und der Flüchtlingskonvention erfolgt immer wegen des Seins, nicht wegen des Tuns; zwar kann der Verfolger gleichfalls oder sogar vordergründig haupt- sächlich auf Handlungsweisen einer Person abzielen; bedeutsam für die Flüchtlingseigenschaft wird der Eingriff der Verfolger aber nur, wenn diese die hinter einer Handlungsweise steckende Eigenart und Gesinnung der entsprechenden Person treffen wollen (Entscheidungen und Mitteilungen der Schweizerischen Asylrekurskommission [EMARK] 2006 Nr. 32 E. 8.7.1 sowie WALTER STÖCKLI, Asyl, in: Uebersax/Rudin/Hugi Yar/Geiser/Vetterli [Hrsg.], a.a.O., Rz. 14.18 und 14.19).</w:t>
      </w:r>
    </w:p>
    <w:p>
      <w:r>
        <w:rPr>
          <w:b/>
        </w:rPr>
        <w:t>E. 6.4.1</w:t>
      </w:r>
    </w:p>
    <w:p>
      <w:r>
        <w:t>Vorliegend haben die Beschwerdeführenden geltend gemacht, dass der Beschwerdeführer 1 aufgrund seiner Rolle als sozialer Anführer, Mit- organisator der sozialen Proteste im Jahr 2021 und seiner Unterstützung für die Wahlkampagne von José Alberto Tejada in den Fokus der paramili- tärischen Organisationen AUC, AGC beziehungsweise der Águilas Negras geraten ist.</w:t>
      </w:r>
    </w:p>
    <w:p>
      <w:r>
        <w:rPr>
          <w:b/>
        </w:rPr>
        <w:t>E. 6.4.2</w:t>
      </w:r>
    </w:p>
    <w:p>
      <w:r>
        <w:t>Im Länderkontext Kolumbien ist festzuhalten, dass sich Verfolgungs- handlungen durch paramilitärische Organisationen (etwa GAO [Grupos Ar- mados Organizados], GDO [Grupos Delincuenciales Organizados] oder GAOR [Grupos Armados Organizados Residuales] regelmässig in gemein- 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gelten (vgl. Urteile des BVGer D-6441/2019, D-6442/2019, D-6444/2019, D-6450/2019 vom 16. Dezem- ber 2019 E. 6.2; E-3683/2019 vom 7. August 2019 E. 3.3; E-3745/2019 vom 7. August 2019 E. 3.1; vgl. dazu auch UNHCR Guidance Note on Re- fugee Claims Relating to Victims of Organized Gangs, § 45-51</w:t>
      </w:r>
    </w:p>
    <w:p>
      <w:r>
        <w:t>D-2760/2022 Seite 14 &lt; https://www.refworld.org/docid/4bb21fa02.html &gt;, abgerufen am 16.2.2023).</w:t>
      </w:r>
    </w:p>
    <w:p>
      <w:r>
        <w:rPr>
          <w:b/>
        </w:rPr>
        <w:t>E. 6.4.3</w:t>
      </w:r>
    </w:p>
    <w:p>
      <w:r>
        <w:t>Gemäss den konsultierten Quellen hat im Anschluss an die Demobi- lisierung der AUC eine Entideologisierung der daraus entstandenen para- militärischen Organisationen (auch als «narcoparamilitarismo» oder «Post- AUC» bezeichnet, zu welchen sowohl die AGC wie auch die Águilas Neg- ras zählen) stattgefunden. Demnach treffen die meisten bewaffneten Grup- pen die Unterscheidung zwischen Verbündeten und Feinden nicht mehr danach, ob ihnen eine Person oder Personengruppe ideologisch nahe- steht, sondern vielmehr danach, ob diese zu einem bestimmten Zeitpunkt mit ihren militärischen oder wirtschaftlichen Interessen im betreffenden Ge- biet übereinstimmt. Der Einfluss der politischen Ideologie hat als Motivati- onsfaktor zugunsten des Strebens nach illegalen Märkten und Territorien abgenommen. Paramilitärische Organisationen nehmen im Allgemeinen diejenigen Personen oder Personengruppen ins Visier, die sie als Ärgernis oder Hindernis für ihre wirtschaftlichen Ziele ansehen oder die den Interes- sen der Gruppe zuwiderlaufen. Zivilisten, die als Hindernis für die Kontrolle der illegalen Wirtschaft und des Territoriums angesehen werden, werden aus ihren Häusern vertrieben, und diejenigen, die sich der Kontrolle oder der Expansion dieser Gruppen widersetzen, wie soziale Führer oder de- mobilisierte FARC-EP-Kämpfer, werden behelligt und verfolgt. Insgesamt gestaltet sich daher eine strikte Differenzierung zwischen krimineller und politischer Gewalt schwierig. (European Union Agency for Asylum [EUAA], Colombia: Country Focus vom Dezember 2022, &lt; https://www.ecoi.net/en- /file/local/2083878/2022_12_EUAA_COI_Report_Colombia_Country_fo- cus.pdf &gt;, abgerufen am 16.2.2023).</w:t>
      </w:r>
    </w:p>
    <w:p>
      <w:r>
        <w:rPr>
          <w:b/>
        </w:rPr>
        <w:t>E. 6.4.4</w:t>
      </w:r>
    </w:p>
    <w:p>
      <w:r>
        <w:t>Angesichts der Ausführungen stellt das Gericht fest, dass die Ein- schüchterungen und Drohungen sowie der Angriff am 27. November 2021 nicht nur auf das Tun, sondern auch auf das Sein des Beschwerdeführers 1 abzielten. Einerseits dürfte der Verhinderungsversuch der Wahl von José Alberto Tejada durch damit erwartete ökonomisch-militärische Vorteile sei- tens der paramilitärischen Organisation motiviert gewesen sein, wodurch in erster Linie das Tun des Beschwerdeführers 1 betroffen ist. Andererseits deuten die persönlichen Drohungen betreffend seine Unterstützung und Mitorganisation der sozialen Proteste im Jahr 2021 sowie seiner Rolle als sozialer Anführer und Repräsentant der Organisationen «(…)», «(…)» und «(…)» darauf hin, dass er auch wegen der hinter seiner Handlungsweise steckenden politischen Gesinnung ernsthafte Nachteile erlitten hat, zumal nicht ersichtlich ist, inwiefern sich die paramilitärische Organisation daraus</w:t>
      </w:r>
    </w:p>
    <w:p>
      <w:r>
        <w:t>D-2760/2022 Seite 15 einen militärischen oder ökonomischen Vorteil verschaffen könnte. Nach dem Gesagten ergibt sich, dass den erlittenen Nachteilen ein in Art. 3 Abs. 1 AsylG abschliessend aufgelistetes Motiv zugrunde liegt.</w:t>
      </w:r>
    </w:p>
    <w:p>
      <w:r>
        <w:rPr>
          <w:b/>
        </w:rPr>
        <w:t>E. 6.5</w:t>
      </w:r>
    </w:p>
    <w:p>
      <w:r>
        <w:t>Ferner setzt eine Verfolgung durch nichtstaatliche Akteure voraus, dass es der betroffenen Person nicht möglich ist, im Heimatstaat adäquaten Schutz zu finden. Nach der sogenannten Schutztheorie (vgl. EMARK 2006/18) ist nichtstaatliche Verfolgung flüchtlingsrechtlich nur dann rele- vant, wenn der Staat unfähig oder nicht willens ist, Schutz vor einer solchen Verfolgung zu bieten. Eine Garantie für langfristigen individuellen Schutz der von nichtstaatlicher Verfolgung bedrohten Person kann dabei nicht ver- langt werden. So kann es keinem Staat gelingen, jederzeit und überall die absolute Sicherheit seiner Bürgerinnen und Bürger zu gewährleisten. Hin- gegen muss der Staat eine funktionierende und effiziente Schutzinfrastruk- tur zur Verfügung stellen, also in erster Linie polizeiliche Aufgaben wahr- nehmende Organe und ein Rechts- und Justizsystem, das eine effektive Strafverfolgung ermöglicht. Ob das bestehende Schutzsystem als in die- sem Sinne effizient erachtet werden kann, hängt letztlich auch davon ab, dass der Schutz die von Verfolgung betroffene Person tatsächlich erreicht. Zudem muss die Inanspruchnahme des Schutzsystems der betroffenen Person objektiv zugänglich und individuell zumutbar sein, was jeweils im Rahmen einer Einzelfallprüfung unter Berücksichtigung des länderspezifi- schen Kontextes zu beurteilen ist (vgl. BVGE 2011/51 E. 7.3 f. m.w.H. so- wie die Urteile des BVGer D-5307/2020 vom 7. Dezember 2020 E. 7.2; E-4446/2018 vom 29. August 2018 E. 6.2.1).</w:t>
      </w:r>
    </w:p>
    <w:p>
      <w:r>
        <w:rPr>
          <w:b/>
        </w:rPr>
        <w:t>E. 6.5.1</w:t>
      </w:r>
    </w:p>
    <w:p>
      <w:r>
        <w:t>Das Bundesverwaltungsgericht geht in seiner Rechtsprechung grundsätzlich von der Schutzfähigkeit und Schutzwilligkeit der kolumbiani- schen Strafverfolgungs- und Justizbehörden aus (vgl. etwa Urteile des BVGer D-4959/2022 und D-4941/2022 vom 29. November 2022; D-1026/2022 und D-1023/2022 vom 5. April 2022 E. 6.3.4; D-1633/2021 vom 25. Mai 2021 E. 7.1.3). Es ist deshalb zu prüfen, ob die Beschwerde- führenden im konkreten Einzelfall in Kolumbien tatsächlichen und adäqua- ten Schutz vor Verfolgung finden können.</w:t>
      </w:r>
    </w:p>
    <w:p>
      <w:r>
        <w:rPr>
          <w:b/>
        </w:rPr>
        <w:t>E. 6.5.2</w:t>
      </w:r>
    </w:p>
    <w:p>
      <w:r>
        <w:t>Vorliegend hat der Beschwerdeführer am 29. November 2021 die Staatsanwaltschaft Cali um Schutz ersucht (vgl. Beweismittelverzeichnis 007). Mit Schreiben vom 10. Dezember 2021 teilte ihm die Polizei jedoch mit, dass angesichts der wenigen verfügbaren Einheiten und der hohen Kriminalität nur eine motorisierte Streife eingesetzt werden könne, die an</w:t>
      </w:r>
    </w:p>
    <w:p>
      <w:r>
        <w:t>D-2760/2022 Seite 16 der Wohnadresse der Beschwerdeführenden patrouillieren werde (vgl. Be- weismittelverzeichnis 009). Diesbezüglich gab der Beschwerdeführer 1 an, nie eine Patrouille gesehen zu haben (vgl. 33/14 D30). Aus diesem Grund richtete er sich an die Beauftrage für Bürgerrechte. Diese ersuchte mit Schreiben vom 13. Dezember 2021 den Polizeikommandanten der Stadt- polizei von Cali, geeignete Sicherheitsmassnahmen zu ergreifen, um das Leben, die Sicherheit und die Integrität des Beschwerdeführers 1 zu schüt- zen und ihn über die ergriffenen Massnahmen zu informieren (Beweismit- telverzeichnis 011). Gleichentags forderte sie auch den Leiter der UNP auf, ihr nach der Risikobeurteilung durch das Comité de Evaluación de Riesgo y Recomendación de Medidas (CERREM, Komitee zur Risikobeurteilung und Empfehlung von Massnahmen) mitzuteilen, in welche Risikostufe der Beschwerdeführer 1 einzuteilen sei und welche Sicherheitsmassnahmen empfohlen würden (Beweismittelverzeichnis 012). Am 21. Dezember 2021 stellte der Beschwerdeführer 1 ferner einen eigens ausgefüllten Schutzan- trag bei der UNP für sich und seine Familie (Beweismittelverzeichnis 013). Das Gericht stellt fest, dass der Beschwerdeführer 1 sich mehrfach um staatlichen Schutz bemühte. Auch ist bekannt, dass die Verfahren betref- fend Schutzgewährung lange andauern können und die ergriffenen Mass- nahmen teilweise als unangemessen kritisiert werden (vgl. Inter-American Commission on Human Rights [IACHR], Report on the Situation of Human Rights Defenders and Social Leaders in Colombia, 2019, &lt; http://www.oas.org/en/iachr/reports/pdfs/ColombiaDefenders.pdf &gt;, ab- gerufen am 16.2.2023). Ob im vorliegenden Fall von einer effizienten Schutzinfrastruktur in der hier relevanten Gegend Kolumbiens gesprochen werden kann, kann mit Blick auf die Möglichkeit einer Aufenthaltsalterna- tive offengelassen werden (vgl. Urteil des BVGer E-766/2020 vom 27. April 2020 E. 6.2.3.2). Diesbezüglich machte der Beschwerdeführer 1 geltend, von der AUC beziehungsweise deren Nachfolgeorganisationen AGC und Águilas Negras verfolgt zu werden. Das Gericht stellt fest, dass trotz der teilweise besorgniserregenden Entwicklung verschiedener krimineller Or- ganisationen in Kolumbien zurzeit keine POST-AUC-Gruppe mit einer na- tionalen Struktur existiert, die über eine landesweite Präsenz und Kontrolle verfügt (vgl. zu den Präsenzen der AGC, Post-AUC und GDO’s: Defensoría de Pueblo, Alerta Temprana N° 004-2022, Documento de Advertencia por Proceso Electoral 2022, S. 27, 30 f., &lt; https://alertasstg.blob.core- .windows.net/alertas/004-22.pdf &gt;, abgerufen am 16.2.2023). Ferner ist aufgrund des lokal begrenzten politischen Engagement des Beschwerde- führers 1 nicht auf eine besondere politische Exponiertheit zu schliessen. Der Umstand, dass ihm mitgeteilt wurde, es handle sich nicht um einen</w:t>
      </w:r>
    </w:p>
    <w:p>
      <w:r>
        <w:t>D-2760/2022 Seite 17 «schnellen Fall», weshalb mit einer Bearbeitungszeit von 90 bis 120 Tagen zu rechnen sei, deutet vielmehr darauf hin, dass auch die UNP das Risi- koprofil des Beschwerdeführers 1 als eher tief eingestuft haben dürfte. In der Folge ist nicht davon auszugehen, dass die für den Angriff verantwort- liche Post-AUC-Gruppe die Beschwerdeführenden in einem anderen Lan- desteil suchen beziehungsweise ausfindig machen wird, zumal die Be- schwerdeführenden sowohl im Landhaus ausserhalb von Cali wie auch im Elternhaus in einem anderen Stadtteil von Cali für fast einen Monat bis zur Ausreise unbehelligt geblieben sind. Zudem erstaunt, dass der Beschwer- deführer 1 weder über seinen Anwalt noch über seinen Vater versucht hat, Neuigkeiten betreffend den gestellten Schutzantrag in Erfahrung zu brin- gen (vgl. 33/14 D53 f.). Im Übrigen dürfte nach der Wahl von José Alberto Tejada in das Repräsentantenhaus zumindest einer der geltend gemach- ten Verfolgungsgründe weggefallen sein. Mit Blick auf die mit der Be- schwerde eingereichten Pamphlete der Águilas Negras ist ferner festzu- halten, dass zwar bekannt ist, dass deren Name und Logo zur Begehung von Verbrechen und zur Verbreitung von Schrecken von verschiedenen kri- minellen Banden verwendet wird, jedoch keine Hinweise auf die Existenz einer Organisationsstruktur oder deren Neuformierung bestehen (vgl. EUAA, Colombia 2022 a.a.O., S. 53). Schliesslich überzeugt auch der Ein- wand nicht, es bestehe keine Fluchtalternative, da in denjenigen Regionen, in denen die AGC nicht aktiv sei, FARC-Dissidentengruppen die Kontrolle übernommen hätten und mit denselben Methoden agieren würden, zumal weder die Akten noch die Beschwerdeführenden in ihren Aussagen auf eine Verfolgung durch eine FARC-Dissidentengruppe hinweisen.</w:t>
      </w:r>
    </w:p>
    <w:p>
      <w:r>
        <w:rPr>
          <w:b/>
        </w:rPr>
        <w:t>E. 6.6</w:t>
      </w:r>
    </w:p>
    <w:p>
      <w:r>
        <w:t>Zusammenfassend ergibt sich, dass keine asylrechtlich relevanten Ver- folgungsgründe ersichtlich sind, weshalb die Vorinstanz zu Recht die Flüchtlingseigenschaft der Beschwerdeführenden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D-2760/2022 Seite 18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D-2760/2022 Seite 19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Ko- lumbien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Kolumbien herrscht weder Krieg oder Bürgerkrieg noch eine Situ- ation allgemeiner Gewalt, aufgrund derer eine Rückkehr generell unzumut- bar wäre (vgl. hierzu die Urteile des BVGer D-908/2021 vom 11. Oktober 2021 E. 7.4.2 m.w.H; D-4959/2022 vom 29. November 2022; D-4941/2022 vom 29. November 2022; D-5435/2022 vom 21. Dezember 2022 E. 9.3.1).</w:t>
      </w:r>
    </w:p>
    <w:p>
      <w:r>
        <w:rPr>
          <w:b/>
        </w:rPr>
        <w:t>E. 8.4.2</w:t>
      </w:r>
    </w:p>
    <w:p>
      <w:r>
        <w:t>Die Beschwerdeführenden machten geltend, der Vollzug der Weg- weisung sei aufgrund ihres Gesundheitszustands nicht zumutbar. Eine psychiatrische Behandlung in der Schweiz habe sich als medizinisch indi- ziert erwiesen; bei einer Rückkehr nach Kolumbien drohe ihnen eine bal- dige und wesentliche Verschlechterung ihres Gesundheitszustands, zumal dies mit Angst und Unsicherheit verbunden sei. Ausserdem bestehe in Ko- lumbien kein genügender Zugang zu psychiatrischer Therapie. Auch das Kindeswohl stehe – insbesondere mit Blick auf ihre psychische Gesundheit – ein Vollzugshindernis dar. Eine Rückkehr würde die in der Schweiz be- gonnene Therapie unterbrechen, was dem Kindeswohl zuwiderlaufen würde.</w:t>
      </w:r>
    </w:p>
    <w:p>
      <w:r>
        <w:t>D-2760/2022 Seite 20</w:t>
      </w:r>
    </w:p>
    <w:p>
      <w:r>
        <w:rPr>
          <w:b/>
        </w:rPr>
        <w:t>E. 8.4.3</w:t>
      </w:r>
    </w:p>
    <w:p>
      <w:r>
        <w:t>Das Gericht stellt fest, dass – entgegen der Ausführungen in der Be- schwerde – keine individuellen Gründe gegen einen Wegweisungsvollzug sprechen. Bei den Beschwerdeführeden 1 und 2 handelt es sich um ein junges Paar, beide mit guter Ausbildung und Arbeitserfahrung (vgl. SEM- eAkte […]-67/7 [nachfolgend 67/7] D18 f.; 33/14 D24 f.), weshalb einer wirt- schaftlichen Reintegration nichts entgegensteht. Ausserdem verfüge die Familie des Beschwerdeführers 1 den Angaben zufolge über ein eigenes Haus (vgl. 33/14 D23). Betreffend die gesundheitlichen Probleme gab der Beschwerdeführer 1 an, er sei physisch in guter Verfassung, habe aber emotionale und psychische Probleme (vgl. 33/14 D4), auch seinen Kindern gehe es physisch gut, sie seien aber emotional labil (vgl.33/14 D4). Die Beschwerdeführerin 2 gab zu Protokoll, kein gesundheitliches Problem zu haben (vgl. 67/7 D4). Aus gesundheitlichen Gründen kann nur dann auf Unzumutbarkeit des Weg- weisungsvollzugs im Sinne von Art. 83 Abs. 4 AIG geschlossen werden, wenn eine dringend notwendige medizinische Behandlung im Heimatland nicht zur Verfügung steht und die fehlende Möglichkeit der (weiteren)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medizinischen Notlage ist aufgrund der Aktenlage nicht aus- zugehen, zumal Kolumbien insbesondere in den Städten und grösseren Ortschaften über eine vergleichsweise gute Gesundheitsversorgung ver- fügt (vgl. statt vieler Urteil des BVGer D-1045/2018 vom 26. Juni 2018 E. 6.3.2). Daran vermag auch der mit der Replik eingereichte Arztbericht vom 1. September 2022 nichts zu ändern, zumal – entgegen der Behaup- tung in der Beschwerdeschrift – gemäss Aktenlage keine Überweisung an einen Psychiater stattgefunden hat. Auch sonst deutet nichts darauf hin, dass die Beschwerdeführenden aus einem anderen Grund in eine exis- tenzbedrohende Situation geraten könnten. Ferner steht auch das Kindeswohl im Sinne von Art. 3 Abs. 1 des Überein- kommens vom 20. November 1989 über die Rechte des Kindes (KRK) der Beschwerdeführenden 3-5 einem Vollzug der Wegweisung nicht entgegen. Aufgrund der Aufenthaltsdauer ist nicht von einer Verwurzelung in der Schweiz auszugehen. Auch lässt sich aus Art. 3 Abs. 1 KRK kein Anspruch</w:t>
      </w:r>
    </w:p>
    <w:p>
      <w:r>
        <w:t>D-2760/2022 Seite 21 auf medizinische Behandlung in der Schweiz ableiten, zumal die vorge- brachten psychischen Leiden ebenfalls unbelegt geblieben sind. Nach dem Gesagten erweist sich der Vollzug der Wegweisung auch als zumutbar.</w:t>
      </w:r>
    </w:p>
    <w:p>
      <w:r>
        <w:rPr>
          <w:b/>
        </w:rPr>
        <w:t>E. 8.5</w:t>
      </w:r>
    </w:p>
    <w:p>
      <w:r>
        <w:t>Die Beschwerdeführenden 1-4 verfügen über einen gültigen Reise- pass; betreffend die Beschwerdeführerin 5 obliegt es den Beschwerdefüh- renden, sich bei der zuständigen Vertretung des Heimatstaates die für eine Rückkehr notwendigen Reisedokumente zu beschaffen (vgl. Art. 8 Abs. 4 AsylG und dazu auch BVGE 2008/34 E. 12), weshalb der Vollzug der Weg- weisung auch als möglich zu bezeichnen ist (Art. 83 Abs. 2 AIG)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grundsätzlich den Beschwerdeführenden aufzuerlegen (Art. 63 Abs. 1 VwVG). Nachdem mit Instruktionsverfügung vom 7. Juli 2022 das Gesuch um Gewährung der unentgeltlichen Prozessführung gutgeheissen wurde, ist auf die Erhebung von Verfahrenskosten zu verzichten.</w:t>
      </w:r>
    </w:p>
    <w:p>
      <w:r>
        <w:t>(Dispositiv nächste Seite)</w:t>
      </w:r>
    </w:p>
    <w:p>
      <w:r>
        <w:t>D-2760/2022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