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D-2760/2007 vom 10. Juli 2007</w:t>
      </w:r>
    </w:p>
    <w:p>
      <w:r>
        <w:t>Bundesverwaltungsgericht, 2007-07-10, DE</w:t>
      </w:r>
    </w:p>
    <w:p>
      <w:r>
        <w:rPr>
          <w:b/>
        </w:rPr>
        <w:t xml:space="preserve">Quelle: </w:t>
      </w:r>
      <w:r>
        <w:t>https://mcp.opencaselaw.ch/entscheid/bvger_D-2760_2007</w:t>
      </w:r>
    </w:p>
    <w:p>
      <w:r>
        <w:t>FR: TAF D-2760/2007 du 10 juillet 2007</w:t>
      </w:r>
    </w:p>
    <w:p>
      <w:r>
        <w:t>IT: TAF D-2760/2007 del 10 luglio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Über offensichtlich unbegründete Beschwerden wird in einem vereinfachten Verfahren entschieden. Wie nachstehend aufgezeigt, handelt es sich vorliegend um eine solche, weshalb auf einen Schriftenwechsel verzichtet werden kann und der Beschwerdeentscheid nur summarisch zu begründen ist (Art. 111 Abs. 1 und 3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Flüchtlingen wird kein Asyl gewährt, wenn sie erst durch ihre Ausreise aus dem Heimat- oder Herkunftsstaat oder wegen ihres Verhaltens nach der Ausreise Flüchtlinge im Sinne von Art. 3 AsylG wurden (Art. 54 AsylG).</w:t>
      </w:r>
    </w:p>
    <w:p>
      <w:r>
        <w:rPr>
          <w:b/>
        </w:rPr>
        <w:t>E. 4.1</w:t>
      </w:r>
    </w:p>
    <w:p>
      <w:r>
        <w:t>Das BFM lehnte das Asylgesuch des Beschwerdeführers ab, da die vorgebrachten subjektiven Nachfluchtgründe den Anforderungen an die Flüchtlingseigenschaft gemäss Art. 3 AsylG nicht zu genügen vermöchten. So habe der Beschwerdeführer im Rahmen seines ersten Asylverfahrens keine politisch motivierte Verfolgung durch die äthiopischen Behörden glaubhaft machen können. Es bestehe somit keine Veranlassung zur Annahme, dass er vor dem Verlassen seines Heimatstaates als regimefeindliche Person ins Blickfeld der äthiopischen Behörden geraten oder dort in irgendeiner Form als Regimegegner oder politischer Aktivist registriert worden sei. Daher sei auch nicht davon auszugehen, dass er nach seiner Ankunft in der Schweiz unter spezieller Beobachtung seitens der äthiopischen Behörden gestanden sei. Zudem könne den Akten nicht entnommen werden, dass die äthiopischen Behörden von der Mitgliedschaft des Beschwerdeführers zur C._______ überhaupt Kenntnis genommen oder gar gestützt darauf irgendwelche Massnahmen zum Nachteil seiner Person eingeleitet hätten. Es sei den äthiopischen Behörden zudem bekannt, dass viele äthiopische Emigranten aus vorwiegend wirtschaftlichen Gründen versuchen würden, sich in Europa vor oder nach Abschluss ihres Asylverfahrens ein dauerhaftes Aufenthaltsrecht zu erwirken, indem sie regimekritischen Aktivitäten nachgingen. Es bestünden keine Anhaltspunkte für die Annahme, dass sich der Beschwerdeführer in besonderer Art und Weise betätigt und exponiert habe, dass er damit ein Interesse der äthiopischen Behörden an seiner Person ausgelöst haben könne. Er gehöre mit Sicherheit nicht zur Zielgruppe des "harten Kerns" von aktiven oppositionellen Äthiopiern im Ausland.</w:t>
      </w:r>
    </w:p>
    <w:p>
      <w:r>
        <w:rPr>
          <w:b/>
        </w:rPr>
        <w:t>E. 4.2</w:t>
      </w:r>
    </w:p>
    <w:p>
      <w:r>
        <w:t>Aus der Rechtsmitteleingabe ergibt sich als Rüge die Verletzung von Bundesrecht, indem dem Beschwerdeführer zu Unrecht die Flüchtlingseigenschaft nicht zuerkannt worden sei. Wie jedoch bereits in der Zwischenverfügung vom 24. April 2007 festgestellt, kommt das Bundesverwaltungsgericht auch nach einer genauen Prüfung der vorliegenden Akten zum Schluss, dass die Schlussfolgerungen der Vorinstanz zutreffen und die Ausführungen in der Beschwerde nicht geeignet sind, diese zu entkräften. Es sei hier noch einmal festgehalten, dass vorliegend augenfällig ist, dass der Beschwerdeführer offenbar erst nach rechtskräftigem Abschluss seines ersten Asylverfahrens im Jahre 2005 mit einer exilpolitischen Tätigkeit begonnen hat, weshalb sich der Schluss aufdrängt, er wolle damit ein dauerhaftes Aufenthaltsrecht in der Schweiz erwirken. Sein in der Schweiz begonnener Aktivismus kann nicht als Fortsetzung eines bereits im Heimatland bestehenden politischen Engagements betrachtet werden, zumal seine Asylvorbringen anlässlich des ersten Asylverfahrens rechtskräftig als unglaubhaft erachtet worden sind. Darüber hinaus verneinte das BFM in seiner zweiten ablehnenden Verfügung vom 2. Juni 2006 die flüchtlingsrechtliche Relevanz der bereits damals geltend gemachten exilpolitischen Aktivitäten. Die diesbezüglichen Ausführungen im vorliegenden dritten Asylverfahren und die damit als Beweismittel eingereichten Dokumente vermögen an der bereits getroffenen Entscheidung des BFM in seiner zweiten Verfügung nichts zu ändern. Von einem exponierten politischen Engagement des Beschwerdeführers kann aufgrund der vorliegenden Akten nicht ausgegangen werden. Zwar wird im eingereichten Schreiben der C._______ vom 2006 dem Beschwerdeführer eine aktive Mitgliedschaft attestiert. Dass diese über die Teilnahme an Protestkundgebungen hinaus gehen würde, wird nicht mindestens glaubhaft gemacht. Die C._______ ist eine in Äthiopien aktive Partei, welche bei den Parlamentswahlen vom Mai 2005 zusammen mit anderen Oppositionsparteien insgesamt ... von ... Sitzen errungen hat und in der Diaspora unter dem Namen B._______ auftritt. Als einfaches Mitglied dieser Partei ist vorliegend nicht von einer Gefährdung des Beschwerdeführers bei einer Rückkehr nach Äthiopien auszugehen. Das Bundesverwaltungsgericht geht davon aus, dass die äthiopischen Sicherheitsbehörden, selbst wenn sie von den exilpolitischen Aktivitäten des Beschwerdeführers Kenntnis erlangt hätten, sich mit grosser Wahrscheinlichkeit nicht ernsthaft für diesen interessieren würden. Wie bereits oben ausgeführt, war der Beschwerdeführer in seinem Heimatland selbst nicht als politischer Aktivist und Regimegegner bekannt. Zudem dürfte es auch den äthiopischen Behörden aufgefallen sein, dass die exilpolitische Betätigung vieler äthiopischer Asylbewerber nach der Ablehnung ihrer Asylgesuche regelmässig drastisch zunimmt respektive intensiver wird oder - wie in casu der Fall - überhaupt erst ab diesem Zeitpunkt einsetzt, was das geltend gemachte politische Engagement als zweifelhaft erscheinen lässt. Es fehlen im vorliegenden Fall jegliche aktenkundige Hinweise darauf, dass gegen den Beschwerdeführer aufgrund der genannten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 Es kann im Übrigen zur Vermeidung von Wiederholungen auf die Erwägungen der Vorinstanz und die Zwischenverfügung vom 24. April 2007 verwiesen werden. Die erhobene Rüge erweist sich nach dem Gesagten als unbegründet.</w:t>
      </w:r>
    </w:p>
    <w:p>
      <w:r>
        <w:rPr>
          <w:b/>
        </w:rPr>
        <w:t>E. 4.3</w:t>
      </w:r>
    </w:p>
    <w:p>
      <w:r>
        <w:t>Aufgrund der vorstehenden Erwägungen erübrigt es sich, auf die Ausführungen in der Beschwerde und die als Beweismittel eingereichten Dokumente noch näher einzugehen, weil sie am Ergebnis nichts ändern können. Unter Berücksichtigung der gesamten Umstände folgt, dass der Beschwerdeführer keine Gründe nach Art. 3 AsylG nachweisen oder glaubhaft machen konnte. Das BFM hat sein Asylgesuch zu Recht abgelehnt.</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5.5</w:t>
      </w:r>
    </w:p>
    <w:p>
      <w:r>
        <w:t>Der Beschwerdeführer verfügt weder über eine fremdenpolizeiliche Aufenthaltsbewilligung noch einen Anspruch auf Erteilung einer solchen. Die Wegweisung wurde demnach zu Recht angeordnet (Art. 44 Abs. 1 AsylG, Entscheidungen und Mitteilungen der ARK [EMARK] 2001 Nr. 21).</w:t>
      </w:r>
    </w:p>
    <w:p>
      <w:r>
        <w:rPr>
          <w:b/>
        </w:rPr>
        <w:t>E. 5.6</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w:t>
      </w:r>
    </w:p>
    <w:p>
      <w:r>
        <w:rPr>
          <w:b/>
        </w:rPr>
        <w:t>E. 5.7</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m.w.H.). Die allgemeine Menschenrechtssituation in seinem Heimatstaat lässt den Wegweisungsvollzug zum heutigen Zeitpunkt klarerweise nicht als unzulässig erscheinen. Nach dem Gesagten ist der Vollzug der Wegweisung sowohl im Sinne der asyl- als auch der völkerrechtlichen Bestimmungen zulässig.</w:t>
      </w:r>
    </w:p>
    <w:p>
      <w:r>
        <w:rPr>
          <w:b/>
        </w:rPr>
        <w:t>E. 5.8</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5.9</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4'500 Blauhelm-Soldaten der UNO kontrollierten seither die Grenze zwischen Äthiopien und Eritrea, wobei diese aber ein sporadisches Wiederaufflackern des Grenzkonfliktes nicht verhindern konnten. Immerhin scheinen aber sowohl Äthiopien als auch Eritrea den Schiedsspruch der hierfür eingesetzten internationalen Kommission, welcher am 13. April 2002 ergangen ist, grundsätzlich zu akzeptieren. Insgesamt kann jedenfalls nicht von einer qualitativen Verschlechterung der allgemeinen Lage in Äthiopien gesprochen werden.</w:t>
      </w:r>
    </w:p>
    <w:p>
      <w:r>
        <w:rPr>
          <w:b/>
        </w:rPr>
        <w:t>E. 5.10</w:t>
      </w:r>
    </w:p>
    <w:p>
      <w:r>
        <w:t>Bei einer Gesamtwürdigung der aktuellen Situation in Äthiopien bestehen keine Hinweise darauf, dass der junge, offenbar gesunde und ledige Beschwerdeführer, welcher eigenen Angaben zufolge über eine zwölfjährige Schulbildung verfügt, in Äthiopien einer konkreten Gefährdung im Sinne von Art. 14a Abs. 4 ANAG ausgesetzt sein könnte. Es ist ihm zuzumuten, sich erneut in seinem Kulturkreis niederzulassen und dort eine neue Existenz aufzubauen.</w:t>
      </w:r>
    </w:p>
    <w:p>
      <w:r>
        <w:rPr>
          <w:b/>
        </w:rPr>
        <w:t>E. 5.11</w:t>
      </w:r>
    </w:p>
    <w:p>
      <w:r>
        <w:t>Nach dem Gesagten ist der Vollzug der Wegweisung somit auch als zumutbar zu bezeichnen.</w:t>
      </w:r>
    </w:p>
    <w:p>
      <w:r>
        <w:rPr>
          <w:b/>
        </w:rPr>
        <w:t>E. 5.12</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5.13</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VwVG) und auf insgesamt Fr. 600.-- festzusetzen (Art. 16 Abs. 1 Bst. a VGG i.V.m. Art. 2 und 3 des Reglements vom 11. Dezember 2006 über die Kosten und Entschädigungen vor dem Bundesverwaltungsgericht [VGKE, SR 173.320.2]) und mit dem am 8. Mai 2007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