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D-2757/2022 vom 1. Juli 2022</w:t>
      </w:r>
    </w:p>
    <w:p>
      <w:r>
        <w:t>Bundesverwaltungsgericht, 2022-07-01, IT</w:t>
      </w:r>
    </w:p>
    <w:p>
      <w:r>
        <w:rPr>
          <w:b/>
        </w:rPr>
        <w:t xml:space="preserve">Quelle: </w:t>
      </w:r>
      <w:r>
        <w:t>https://mcp.opencaselaw.ch/entscheid/bvger_D-2757_2022</w:t>
      </w:r>
    </w:p>
    <w:p>
      <w:r>
        <w:t>FR: TAF D-2757/2022 du 1 juillet 2022</w:t>
      </w:r>
    </w:p>
    <w:p>
      <w:r>
        <w:t>IT: TAF D-2757/2022 del 1 luglio 2022</w:t>
      </w:r>
    </w:p>
    <w:p>
      <w:pPr>
        <w:pStyle w:val="Heading2"/>
      </w:pPr>
      <w:r>
        <w:t>Regeste</w:t>
      </w:r>
    </w:p>
    <w:p>
      <w:r>
        <w:t>Asilo (non entrata nel merito) ed allontanamento (procedura Dublino - art. 31a cpv. 1 lett. b LAsi)</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La giudice unica: La cancelliera: Chiara Piras Francesca Bertini Data di spedizione:</w:t>
      </w:r>
    </w:p>
    <w:p>
      <w:r>
        <w:rPr>
          <w:b/>
        </w:rPr>
        <w:t>E. 27</w:t>
      </w:r>
    </w:p>
    <w:p>
      <w:r>
        <w:t>maggio 2022 consid. 4.6 e E-2392/2020 del 3 giugno 2022); che anche il rapporto OSAR dell’8 aprile 2022, citato dal ricorrente, rileva che non vi sarebbe al momento uno stop ufficiale dei trasferimenti Dublino verso la Bulgaria; che infine, la fattispecie della sentenza del Tribunale D-1128/2022 non è paragonabile in quanto quest’ultima concerneva un richiedente con problemi medici, che inoltre il Tribunale ha anche già avuto modo di sancire che malgrado il sistema del diritto d’asilo esistente in Bulgaria presenti delle problematiche</w:t>
      </w:r>
    </w:p>
    <w:p>
      <w:r>
        <w:t>D-2757/2022 Pagina 11 importanti sia sotto l’aspetto procedurale in senso stretto che relativamente alle condizioni di accoglienza, le condizioni di sussistenza, pur non es- sendo comparabili a quelle elvetiche, non configurano un trattamento inu- mano o degradante giustificante un’applicazione generalizzata dell’art. 3 par. 2 Regolamento Dublino III (cfr. sentenza di riferimento del Tribunale F-7195/2018 dell’11 febbraio 2020 consid. 6.6.7; cfr. fra le altre, le sentenze del Tribunale D-4434/2021 del 13 ottobre 2021 e D-1964/2020 del 20 aprile 2020 consid. 11.4), che stando così le cose, l’applicazione dell’art. 3 par. 2 2a frase Regola- mento Dublino III non si giustifica nel caso di specie, che resta da valutare se nel caso concreto sussistano indizi seri e sufficienti per ammettere che le autorità dello stato di destinazione non rispettino il diritto internazionale (cfr. DTAF 2010/45 consid. 7.4 e 7.5), che 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 che tale disposizione è concretizzata in diritto interno svizzero dall'art. 29a cpv. 3 OAsi 1, che ai sensi dell'art. 29a cpv. 3 OAsi 1 se «motivi umanitari» lo giustificano la SEM può entrare nel merito della domanda anche qualora giusta il Re- golamento Dublino III un altro Stato sarebbe competente per il trattamento della domanda, che la SEM, nell'applicazione dell'art. 29a cpv. 3 OAsi 1, dispone di potere di apprezzamento (cfr. DTAF 2015/9 consid. 7 seg.); che al contrario qua- lora il trasferimento del richiedente nel Paese di destinazione contravvenga all'art. 4 Carta UE, all'art. 3 CEDU o all'art. 3 Conv. tortura, le autorità sviz- zere sono obbligate ad applicare la clausola di sovranità e ad entrare nel merito della domanda d'asilo (cfr. DTAF 2015/9 consid. 8.2.1), che in primo luogo, nel caso in esame il ricorrente non ha dimostrato che lo Stato di destinazione non sia intenzionato a riprenderlo in carico e a por- tare a termine la procedura relativa alla sua domanda di protezione in vio- lazione della direttiva procedura,</w:t>
      </w:r>
    </w:p>
    <w:p>
      <w:r>
        <w:t>D-2757/2022 Pagina 12 che, inoltre, l'insorgente non ha apportato qualsivoglia indizio serio e con- creto suscettibile di dimostrare che la Bulgaria non rispetterebbe il principio del divieto di respingimento e, dunque, verrebbe meno nell'ossequio dei suoi obblighi internazionali, rinviandolo in un paese dove la sua vita, inte- grità corporale o libertà sarebbero seriamente minacciate o da dove rischierebbe di essere respinto in un tale paese, che come già rilevato in precedenza, agli atti non figurano elementi tali da indurre a concludere che un trasferimento nello Stato in questione espor- rebbe il ricorrente al rischio di essere privato del sostentamento minimo e di subire delle condizioni di vita indegna in violazione della direttiva acco- glienza; che altresì l'insorgente non soffre di alcun problema medico, che, in altre parole, egli non ha fornito indizi seri suscettibili di comprovare che le sue condizioni di vita o la sua situazione personale sarebbero tali da contravvenire all'art. 4 della CartaUE, all'art. 3 CEDU o all'art. 3 Conv. tor- tura in caso di esecuzione del trasferimento in Bulgaria, che, ad ogni modo, appartiene al ricorrente sollevare l'eventuale violazione dei suoi diritti fondamentali, utilizzando le adeguate vie di diritto dinanzi alle autorità dello Stato in questione, che infine, non risultano neppure esserci indizi che permettano di ritenere che la SEM abbia esercitato in maniera arbitraria il potere di apprezza- mento di cui dispone nell'applicazione dell'art. 29a cpv. 3 OAsi 1 (cfr. DTAF 2015/9 consid. 7 seg.), che, pertanto, non vi è motivo di applicare la clausola discrezionale di cui all'art. 17 par. 1 («clausola di sovranità») Regolamento Dublino III, che, di conseguenza, in mancanza dell'applicazione di tale norma da parte della Svizzera, la Bulgaria è competente dell'esame della domanda di asilo del ricorrente ai sensi Regolamento Dublino III ed è tenuta a riprenderlo in carico in ossequio alle condizioni poste agli art. 23, 24, 25 Regolamento Dublino III, che, quindi, è a giusto titolo che la SEM non è entrata nel merito della do- manda di asilo del ricorrente in applicazione dell’art. 31a cpv. 1 lett. b LAsi ed ha pronunciato il suo trasferimento verso la Bulgaria conformemente all’art. 44 LAsi (art. 32 lett. a OAsi 1),</w:t>
      </w:r>
    </w:p>
    <w:p>
      <w:r>
        <w:t>D-2757/2022 Pagina 13 che, in siffatte circostanze, non vi è più luogo di esaminare in maniera di- stinta le questioni relative all’esistenza di un impedimento all’esecuzione del trasferimento per i motivi giusta i cpv. 3 e 4 dell’art. 83 della legge fe- derale sugli stranieri e la loro integrazione del 16 dicembre 2005 (LStrI, RS 142.20), momento che essi risultano indissociabili dal giudizio di non entrata nel merito nel quadro di una procedura Dublino (cfr. DTAF 2015/18 consid. 5.2), che ne discende che la SEM, con la decisione impugnata, non ha violato il diritto federale né abusato del suo potere d’apprezzamento ed inoltre non ha accertato in modo inesatto o incompleto i fatti giuridicamente rilevanti (art. 106 cpv. 1 LAsi), che visto quanto procede, il ricorso deve essere respinto e la decisione della SEM, che rifiuta l'entrata nel merito della domanda di asilo e pronun- cia il trasferimento dalla Svizzera verso la Bulgaria, confermata, che, avendo il Tribunale statuito nel merito del ricorso, la domanda di con- cessione dell'effetto sospensivo è senza oggetto, che le misure supercautelari del 24 giugno 2022 decadono, che, avendo il Tribunale statuito nel merito del ricorso, la domanda di esen- zione dal versamento di un anticipo equivalente alle presumibili spese pro- cessuali è divenuta senza oggetto, che, infine, ritenute le allegazioni ricorsuali sprovviste di probabilità di esito favorevole, la domanda di assistenza giudiziaria, nel senso della dispensa dal versamento delle spese processuali, è respinta, che, visto l’esito della procedura, le spese processuali di CHF 750.– che seguono la soccombenza sono poste a carico del ricorrente (art. 63 cpv. 1 e 5 PA nonché art. 3 lett. a del regolamento sulle tasse e sulle spese ripe- tibili nelle cause dinanzi al Tribunale amministrativo federale del 21 feb- braio 2008 [TS-TAF, RS 173.320.2]), che la decisione è definitiva e non può, in principio, essere impugnata con ricorso in materia di diritto pubblico dinanzi al Tribunale federale (art. 83 lett. d cifra 1 LTF).</w:t>
      </w:r>
    </w:p>
    <w:p>
      <w:r>
        <w:t>(dispositivo alla pagina seguente)</w:t>
      </w:r>
    </w:p>
    <w:p>
      <w:r>
        <w:t>D-2757/2022 Pagina 14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